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24F4" w14:textId="2E25F48B" w:rsidR="004F2520" w:rsidRPr="00D72CD5" w:rsidRDefault="004F2520" w:rsidP="004F2520">
      <w:pPr>
        <w:wordWrap/>
        <w:snapToGrid w:val="0"/>
        <w:spacing w:after="0" w:line="336" w:lineRule="auto"/>
        <w:ind w:left="500" w:right="500"/>
        <w:jc w:val="center"/>
        <w:textAlignment w:val="baseline"/>
        <w:rPr>
          <w:rFonts w:ascii="Times New Roman" w:eastAsia="Gulim" w:hAnsi="Times New Roman" w:cs="Times New Roman"/>
          <w:color w:val="000000"/>
          <w:w w:val="115"/>
          <w:kern w:val="0"/>
          <w:sz w:val="30"/>
          <w:szCs w:val="30"/>
        </w:rPr>
      </w:pPr>
      <w:r w:rsidRPr="00325558">
        <w:rPr>
          <w:rFonts w:ascii="Times New Roman" w:eastAsia="Malgun Gothic" w:hAnsi="Times New Roman" w:cs="Times New Roman"/>
          <w:b/>
          <w:bCs/>
          <w:color w:val="000000"/>
          <w:kern w:val="0"/>
          <w:sz w:val="30"/>
          <w:szCs w:val="30"/>
        </w:rPr>
        <w:t xml:space="preserve">Single-cell </w:t>
      </w:r>
      <w:r w:rsidR="00A17ED7">
        <w:rPr>
          <w:rFonts w:ascii="Times New Roman" w:eastAsia="Malgun Gothic" w:hAnsi="Times New Roman" w:cs="Times New Roman"/>
          <w:b/>
          <w:bCs/>
          <w:color w:val="000000"/>
          <w:kern w:val="0"/>
          <w:sz w:val="30"/>
          <w:szCs w:val="30"/>
        </w:rPr>
        <w:t>state-</w:t>
      </w:r>
      <w:r w:rsidRPr="00325558">
        <w:rPr>
          <w:rFonts w:ascii="Times New Roman" w:eastAsia="Malgun Gothic" w:hAnsi="Times New Roman" w:cs="Times New Roman"/>
          <w:b/>
          <w:bCs/>
          <w:color w:val="000000"/>
          <w:kern w:val="0"/>
          <w:sz w:val="30"/>
          <w:szCs w:val="30"/>
        </w:rPr>
        <w:t xml:space="preserve">recording and tracing unravel </w:t>
      </w:r>
      <w:r w:rsidR="009E77CE">
        <w:rPr>
          <w:rFonts w:ascii="Times New Roman" w:eastAsia="Malgun Gothic" w:hAnsi="Times New Roman" w:cs="Times New Roman" w:hint="eastAsia"/>
          <w:b/>
          <w:bCs/>
          <w:color w:val="000000"/>
          <w:kern w:val="0"/>
          <w:sz w:val="30"/>
          <w:szCs w:val="30"/>
        </w:rPr>
        <w:t xml:space="preserve">the </w:t>
      </w:r>
      <w:r w:rsidRPr="00325558">
        <w:rPr>
          <w:rFonts w:ascii="Times New Roman" w:eastAsia="Malgun Gothic" w:hAnsi="Times New Roman" w:cs="Times New Roman"/>
          <w:b/>
          <w:bCs/>
          <w:color w:val="000000"/>
          <w:kern w:val="0"/>
          <w:sz w:val="30"/>
          <w:szCs w:val="30"/>
        </w:rPr>
        <w:t>epigenetic regulation of cell fate decisions</w:t>
      </w:r>
      <w:r w:rsidRPr="008C71E6">
        <w:rPr>
          <w:rFonts w:ascii="Times New Roman" w:eastAsia="Malgun Gothic" w:hAnsi="Times New Roman" w:cs="Times New Roman"/>
          <w:b/>
          <w:bCs/>
          <w:color w:val="000000"/>
          <w:kern w:val="0"/>
          <w:sz w:val="30"/>
          <w:szCs w:val="30"/>
        </w:rPr>
        <w:t xml:space="preserve"> </w:t>
      </w:r>
    </w:p>
    <w:p w14:paraId="290BC487" w14:textId="77777777" w:rsidR="00B07F78" w:rsidRDefault="00B07F78" w:rsidP="004F2520">
      <w:pPr>
        <w:pStyle w:val="NormalWeb"/>
        <w:spacing w:before="0" w:beforeAutospacing="0" w:after="0" w:afterAutospacing="0" w:line="360" w:lineRule="auto"/>
        <w:rPr>
          <w:rFonts w:ascii="Arial" w:hAnsi="Arial" w:cs="Arial"/>
          <w:sz w:val="28"/>
          <w:szCs w:val="28"/>
        </w:rPr>
      </w:pPr>
    </w:p>
    <w:p w14:paraId="437F304E" w14:textId="79642245" w:rsidR="00B07F78" w:rsidRPr="004F2520" w:rsidRDefault="004F2520" w:rsidP="004F2520">
      <w:pPr>
        <w:wordWrap/>
        <w:snapToGrid w:val="0"/>
        <w:spacing w:after="0" w:line="336" w:lineRule="auto"/>
        <w:jc w:val="center"/>
        <w:textAlignment w:val="baseline"/>
        <w:rPr>
          <w:rFonts w:ascii="Times New Roman" w:eastAsia="휴먼고딕" w:hAnsi="Times New Roman" w:cs="Times New Roman"/>
          <w:color w:val="000000" w:themeColor="text1"/>
          <w:kern w:val="0"/>
          <w:sz w:val="22"/>
        </w:rPr>
      </w:pPr>
      <w:r w:rsidRPr="004F2520">
        <w:rPr>
          <w:rFonts w:ascii="Times New Roman" w:eastAsia="휴먼고딕" w:hAnsi="Times New Roman" w:cs="Times New Roman"/>
          <w:color w:val="000000" w:themeColor="text1"/>
          <w:kern w:val="0"/>
          <w:sz w:val="22"/>
        </w:rPr>
        <w:t>Ik Soo Kim</w:t>
      </w:r>
    </w:p>
    <w:p w14:paraId="66D89968" w14:textId="77777777" w:rsidR="004F2520" w:rsidRPr="004F2520" w:rsidRDefault="004F2520" w:rsidP="004F2520">
      <w:pPr>
        <w:wordWrap/>
        <w:snapToGrid w:val="0"/>
        <w:spacing w:after="0" w:line="336" w:lineRule="auto"/>
        <w:jc w:val="center"/>
        <w:textAlignment w:val="baseline"/>
        <w:rPr>
          <w:rFonts w:ascii="Times New Roman" w:eastAsia="Gulim" w:hAnsi="Times New Roman" w:cs="Times New Roman"/>
          <w:i/>
          <w:iCs/>
          <w:color w:val="000000" w:themeColor="text1"/>
          <w:kern w:val="0"/>
          <w:sz w:val="18"/>
          <w:szCs w:val="18"/>
        </w:rPr>
      </w:pPr>
      <w:r w:rsidRPr="004F2520">
        <w:rPr>
          <w:rFonts w:ascii="Times New Roman" w:eastAsia="휴먼고딕" w:hAnsi="Times New Roman" w:cs="Times New Roman"/>
          <w:i/>
          <w:iCs/>
          <w:color w:val="000000" w:themeColor="text1"/>
          <w:kern w:val="0"/>
          <w:sz w:val="21"/>
          <w:szCs w:val="21"/>
        </w:rPr>
        <w:t xml:space="preserve">Department of Microbiology, </w:t>
      </w:r>
      <w:proofErr w:type="spellStart"/>
      <w:r w:rsidRPr="004F2520">
        <w:rPr>
          <w:rFonts w:ascii="Times New Roman" w:eastAsia="휴먼고딕" w:hAnsi="Times New Roman" w:cs="Times New Roman"/>
          <w:i/>
          <w:iCs/>
          <w:color w:val="000000" w:themeColor="text1"/>
          <w:kern w:val="0"/>
          <w:sz w:val="21"/>
          <w:szCs w:val="21"/>
        </w:rPr>
        <w:t>Gachon</w:t>
      </w:r>
      <w:proofErr w:type="spellEnd"/>
      <w:r w:rsidRPr="004F2520">
        <w:rPr>
          <w:rFonts w:ascii="Times New Roman" w:eastAsia="휴먼고딕" w:hAnsi="Times New Roman" w:cs="Times New Roman"/>
          <w:i/>
          <w:iCs/>
          <w:color w:val="000000" w:themeColor="text1"/>
          <w:kern w:val="0"/>
          <w:sz w:val="21"/>
          <w:szCs w:val="21"/>
        </w:rPr>
        <w:t xml:space="preserve"> University College of Medicine, Korea</w:t>
      </w:r>
    </w:p>
    <w:p w14:paraId="1E82158E" w14:textId="77777777" w:rsidR="004F2520" w:rsidRPr="004F2520" w:rsidRDefault="004F2520" w:rsidP="004F2520">
      <w:pPr>
        <w:wordWrap/>
        <w:snapToGrid w:val="0"/>
        <w:spacing w:after="0" w:line="336" w:lineRule="auto"/>
        <w:jc w:val="center"/>
        <w:textAlignment w:val="baseline"/>
        <w:rPr>
          <w:rFonts w:ascii="Times New Roman" w:eastAsia="Gulim" w:hAnsi="Times New Roman" w:cs="Times New Roman"/>
          <w:i/>
          <w:iCs/>
          <w:color w:val="000000" w:themeColor="text1"/>
          <w:kern w:val="0"/>
          <w:sz w:val="21"/>
          <w:szCs w:val="21"/>
        </w:rPr>
      </w:pPr>
      <w:r w:rsidRPr="004F2520">
        <w:rPr>
          <w:rFonts w:ascii="Times New Roman" w:eastAsia="휴먼명조" w:hAnsi="Times New Roman" w:cs="Times New Roman"/>
          <w:i/>
          <w:iCs/>
          <w:color w:val="000000" w:themeColor="text1"/>
          <w:kern w:val="0"/>
          <w:sz w:val="21"/>
          <w:szCs w:val="21"/>
        </w:rPr>
        <w:t>iksookim@gachon.ac.kr</w:t>
      </w:r>
    </w:p>
    <w:p w14:paraId="6E4485EA" w14:textId="77777777" w:rsidR="004F2520" w:rsidRDefault="004F2520" w:rsidP="00B07F78">
      <w:pPr>
        <w:rPr>
          <w:rFonts w:ascii="Times New Roman" w:eastAsia="휴먼고딕" w:hAnsi="Times New Roman" w:cs="Times New Roman"/>
          <w:color w:val="000000" w:themeColor="text1"/>
          <w:kern w:val="0"/>
          <w:sz w:val="22"/>
        </w:rPr>
      </w:pPr>
    </w:p>
    <w:p w14:paraId="1B83D1B0" w14:textId="4839F437" w:rsidR="004F2520" w:rsidRPr="00E0092A" w:rsidRDefault="004F2520" w:rsidP="004F2520">
      <w:pPr>
        <w:pStyle w:val="a"/>
        <w:wordWrap/>
        <w:adjustRightInd w:val="0"/>
        <w:spacing w:line="360" w:lineRule="auto"/>
        <w:rPr>
          <w:rFonts w:ascii="Times New Roman" w:eastAsia="Malgun Gothic" w:hAnsi="Times New Roman" w:cs="Times New Roman"/>
          <w:sz w:val="22"/>
          <w:szCs w:val="22"/>
          <w:lang w:val="en-KR"/>
        </w:rPr>
      </w:pPr>
      <w:r w:rsidRPr="00E0092A">
        <w:rPr>
          <w:rFonts w:ascii="Times New Roman" w:eastAsia="Malgun Gothic" w:hAnsi="Times New Roman" w:cs="Times New Roman"/>
          <w:sz w:val="22"/>
          <w:szCs w:val="22"/>
          <w:lang w:val="en-KR"/>
        </w:rPr>
        <w:t xml:space="preserve">A comprehensive understanding of fate decisions is essential for manipulating cell states in diverse biological contexts, encompassing both development and disease. Recent technological breakthroughs in genomics and single-cell research have enabled </w:t>
      </w:r>
      <w:r>
        <w:rPr>
          <w:rFonts w:ascii="Times New Roman" w:eastAsia="Malgun Gothic" w:hAnsi="Times New Roman" w:cs="Times New Roman"/>
          <w:sz w:val="22"/>
          <w:szCs w:val="22"/>
          <w:lang w:val="en-KR"/>
        </w:rPr>
        <w:t>the unraveling</w:t>
      </w:r>
      <w:r w:rsidRPr="00E0092A">
        <w:rPr>
          <w:rFonts w:ascii="Times New Roman" w:eastAsia="Malgun Gothic" w:hAnsi="Times New Roman" w:cs="Times New Roman"/>
          <w:sz w:val="22"/>
          <w:szCs w:val="22"/>
          <w:lang w:val="en-KR"/>
        </w:rPr>
        <w:t xml:space="preserve"> </w:t>
      </w:r>
      <w:r>
        <w:rPr>
          <w:rFonts w:ascii="Times New Roman" w:eastAsia="Malgun Gothic" w:hAnsi="Times New Roman" w:cs="Times New Roman"/>
          <w:sz w:val="22"/>
          <w:szCs w:val="22"/>
          <w:lang w:val="en-KR"/>
        </w:rPr>
        <w:t xml:space="preserve">of </w:t>
      </w:r>
      <w:r w:rsidRPr="00E0092A">
        <w:rPr>
          <w:rFonts w:ascii="Times New Roman" w:eastAsia="Malgun Gothic" w:hAnsi="Times New Roman" w:cs="Times New Roman"/>
          <w:sz w:val="22"/>
          <w:szCs w:val="22"/>
          <w:lang w:val="en-KR"/>
        </w:rPr>
        <w:t>heterogeneous cell states within biological systems. Single-cell lineage tracing techniques</w:t>
      </w:r>
      <w:r>
        <w:rPr>
          <w:rFonts w:ascii="Times New Roman" w:eastAsia="Malgun Gothic" w:hAnsi="Times New Roman" w:cs="Times New Roman"/>
          <w:sz w:val="22"/>
          <w:szCs w:val="22"/>
          <w:lang w:val="en-KR"/>
        </w:rPr>
        <w:t xml:space="preserve"> employing synthetic or physiological barcodes</w:t>
      </w:r>
      <w:r w:rsidRPr="00E0092A">
        <w:rPr>
          <w:rFonts w:ascii="Times New Roman" w:eastAsia="Malgun Gothic" w:hAnsi="Times New Roman" w:cs="Times New Roman"/>
          <w:sz w:val="22"/>
          <w:szCs w:val="22"/>
          <w:lang w:val="en-KR"/>
        </w:rPr>
        <w:t xml:space="preserve"> offer insights into the origin and trajectory of individual cells. Our recent proposal posits that epigenetic regulation </w:t>
      </w:r>
      <w:r>
        <w:rPr>
          <w:rFonts w:ascii="Times New Roman" w:eastAsia="Malgun Gothic" w:hAnsi="Times New Roman" w:cs="Times New Roman"/>
          <w:sz w:val="22"/>
          <w:szCs w:val="22"/>
          <w:lang w:val="en-KR"/>
        </w:rPr>
        <w:t>is pivotal</w:t>
      </w:r>
      <w:r w:rsidRPr="00E0092A">
        <w:rPr>
          <w:rFonts w:ascii="Times New Roman" w:eastAsia="Malgun Gothic" w:hAnsi="Times New Roman" w:cs="Times New Roman"/>
          <w:sz w:val="22"/>
          <w:szCs w:val="22"/>
          <w:lang w:val="en-KR"/>
        </w:rPr>
        <w:t xml:space="preserve"> in shaping various fate decisions, spanning developmental processes and disease progression. Moreover, by integrating single-cell transcriptomics with synthetic barcodes, we have </w:t>
      </w:r>
      <w:r>
        <w:rPr>
          <w:rFonts w:ascii="Times New Roman" w:eastAsia="Malgun Gothic" w:hAnsi="Times New Roman" w:cs="Times New Roman"/>
          <w:sz w:val="22"/>
          <w:szCs w:val="22"/>
          <w:lang w:val="en-KR"/>
        </w:rPr>
        <w:t>mapped</w:t>
      </w:r>
      <w:r w:rsidRPr="00E0092A">
        <w:rPr>
          <w:rFonts w:ascii="Times New Roman" w:eastAsia="Malgun Gothic" w:hAnsi="Times New Roman" w:cs="Times New Roman"/>
          <w:sz w:val="22"/>
          <w:szCs w:val="22"/>
          <w:lang w:val="en-KR"/>
        </w:rPr>
        <w:t xml:space="preserve"> transcriptional states over time, allowing us to model cell fate trajectories and identify branch points as stem cells differentiate into distinct cell types. Notably, our innovative timestamp recording techniques have unveiled lineage priming events occurring prior to the expression of lineage marker genes. </w:t>
      </w:r>
      <w:r>
        <w:rPr>
          <w:rFonts w:ascii="Times New Roman" w:eastAsia="Malgun Gothic" w:hAnsi="Times New Roman" w:cs="Times New Roman"/>
          <w:sz w:val="22"/>
          <w:szCs w:val="22"/>
          <w:lang w:val="en-KR"/>
        </w:rPr>
        <w:t xml:space="preserve">We also </w:t>
      </w:r>
      <w:r w:rsidRPr="00E0092A">
        <w:rPr>
          <w:rFonts w:ascii="Times New Roman" w:eastAsia="Malgun Gothic" w:hAnsi="Times New Roman" w:cs="Times New Roman"/>
          <w:sz w:val="22"/>
          <w:szCs w:val="22"/>
          <w:lang w:val="en-KR"/>
        </w:rPr>
        <w:t>utilize</w:t>
      </w:r>
      <w:r>
        <w:rPr>
          <w:rFonts w:ascii="Times New Roman" w:eastAsia="Malgun Gothic" w:hAnsi="Times New Roman" w:cs="Times New Roman"/>
          <w:sz w:val="22"/>
          <w:szCs w:val="22"/>
          <w:lang w:val="en-KR"/>
        </w:rPr>
        <w:t>d</w:t>
      </w:r>
      <w:r w:rsidRPr="00E0092A">
        <w:rPr>
          <w:rFonts w:ascii="Times New Roman" w:eastAsia="Malgun Gothic" w:hAnsi="Times New Roman" w:cs="Times New Roman"/>
          <w:sz w:val="22"/>
          <w:szCs w:val="22"/>
          <w:lang w:val="en-KR"/>
        </w:rPr>
        <w:t xml:space="preserve"> physiological barcodes, such as TCR sequences, to trace immune cells in infectious disease samples from patients. Presently, we leverage transcriptomic </w:t>
      </w:r>
      <w:r>
        <w:rPr>
          <w:rFonts w:ascii="Times New Roman" w:eastAsia="Malgun Gothic" w:hAnsi="Times New Roman" w:cs="Times New Roman"/>
          <w:sz w:val="22"/>
          <w:szCs w:val="22"/>
          <w:lang w:val="en-KR"/>
        </w:rPr>
        <w:t xml:space="preserve">and epigenetic </w:t>
      </w:r>
      <w:r w:rsidRPr="00E0092A">
        <w:rPr>
          <w:rFonts w:ascii="Times New Roman" w:eastAsia="Malgun Gothic" w:hAnsi="Times New Roman" w:cs="Times New Roman"/>
          <w:sz w:val="22"/>
          <w:szCs w:val="22"/>
          <w:lang w:val="en-KR"/>
        </w:rPr>
        <w:t xml:space="preserve">analyses to delineate branches of </w:t>
      </w:r>
      <w:r>
        <w:rPr>
          <w:rFonts w:ascii="Times New Roman" w:eastAsia="Malgun Gothic" w:hAnsi="Times New Roman" w:cs="Times New Roman"/>
          <w:sz w:val="22"/>
          <w:szCs w:val="22"/>
          <w:lang w:val="en-KR"/>
        </w:rPr>
        <w:t xml:space="preserve">differentiation trajectories in many tissues, including adipose, intestine, liver, etc. </w:t>
      </w:r>
      <w:r w:rsidRPr="00E0092A">
        <w:rPr>
          <w:rFonts w:ascii="Times New Roman" w:eastAsia="Malgun Gothic" w:hAnsi="Times New Roman" w:cs="Times New Roman"/>
          <w:sz w:val="22"/>
          <w:szCs w:val="22"/>
          <w:lang w:val="en-KR"/>
        </w:rPr>
        <w:t>To enhance our capacity for recording and tracing cellular processes, we are actively developing new single-cell technologies capable of capturing cell states at the molecular level and tracing both innate and acquired cell barcodes in developing cells. Our study aims to elucidate the underlying mechanisms governing cell fate decisions and the epigenetic factors influencing fate specification, providing valuable insights into strategies for redirecting differentiation processes and mitigating disease progression.</w:t>
      </w:r>
    </w:p>
    <w:p w14:paraId="2E3D7E88" w14:textId="012339B0" w:rsidR="004F2520" w:rsidRDefault="004F2520" w:rsidP="004F2520">
      <w:pPr>
        <w:pStyle w:val="a"/>
        <w:wordWrap/>
        <w:adjustRightInd w:val="0"/>
        <w:spacing w:line="360" w:lineRule="auto"/>
        <w:rPr>
          <w:rFonts w:ascii="Times New Roman" w:eastAsia="Malgun Gothic" w:hAnsi="Times New Roman" w:cs="Times New Roman"/>
          <w:sz w:val="22"/>
          <w:szCs w:val="22"/>
        </w:rPr>
      </w:pPr>
      <w:r w:rsidRPr="00EB3580">
        <w:rPr>
          <w:rFonts w:ascii="Times New Roman" w:eastAsia="Malgun Gothic" w:hAnsi="Times New Roman" w:cs="Times New Roman"/>
          <w:sz w:val="22"/>
          <w:szCs w:val="22"/>
        </w:rPr>
        <w:t>Keywords</w:t>
      </w:r>
      <w:r>
        <w:rPr>
          <w:rFonts w:ascii="Times New Roman" w:eastAsia="Malgun Gothic" w:hAnsi="Times New Roman" w:cs="Times New Roman"/>
          <w:sz w:val="22"/>
          <w:szCs w:val="22"/>
        </w:rPr>
        <w:t xml:space="preserve"> (3)</w:t>
      </w:r>
      <w:r w:rsidRPr="00EB3580">
        <w:rPr>
          <w:rFonts w:ascii="Times New Roman" w:eastAsia="Malgun Gothic" w:hAnsi="Times New Roman" w:cs="Times New Roman"/>
          <w:sz w:val="22"/>
          <w:szCs w:val="22"/>
        </w:rPr>
        <w:t xml:space="preserve">: Cell fate decision, Epigenetics, </w:t>
      </w:r>
      <w:r>
        <w:rPr>
          <w:rFonts w:ascii="Times New Roman" w:eastAsia="Malgun Gothic" w:hAnsi="Times New Roman" w:cs="Times New Roman"/>
          <w:sz w:val="22"/>
          <w:szCs w:val="22"/>
        </w:rPr>
        <w:t>Lineage tracing</w:t>
      </w:r>
    </w:p>
    <w:sectPr w:rsidR="004F252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516A" w14:textId="77777777" w:rsidR="00E55F91" w:rsidRDefault="00E55F91" w:rsidP="00407ADE">
      <w:pPr>
        <w:spacing w:after="0" w:line="240" w:lineRule="auto"/>
      </w:pPr>
      <w:r>
        <w:separator/>
      </w:r>
    </w:p>
  </w:endnote>
  <w:endnote w:type="continuationSeparator" w:id="0">
    <w:p w14:paraId="32642B11" w14:textId="77777777" w:rsidR="00E55F91" w:rsidRDefault="00E55F91" w:rsidP="00407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2A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28009F" w:csb1="00000000"/>
  </w:font>
  <w:font w:name="Arial">
    <w:panose1 w:val="020B0604020202020204"/>
    <w:charset w:val="00"/>
    <w:family w:val="swiss"/>
    <w:pitch w:val="variable"/>
    <w:sig w:usb0="E0002EFF" w:usb1="C000785B" w:usb2="00000009" w:usb3="00000000" w:csb0="000001FF" w:csb1="00000000"/>
  </w:font>
  <w:font w:name="휴먼고딕">
    <w:altName w:val="Batang"/>
    <w:panose1 w:val="020B0604020202020204"/>
    <w:charset w:val="81"/>
    <w:family w:val="roman"/>
    <w:notTrueType/>
    <w:pitch w:val="default"/>
    <w:sig w:usb0="00000001" w:usb1="09060000" w:usb2="00000010" w:usb3="00000000" w:csb0="00080000" w:csb1="00000000"/>
  </w:font>
  <w:font w:name="휴먼명조">
    <w:altName w:val="Batang"/>
    <w:panose1 w:val="020B0604020202020204"/>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B7BF" w14:textId="77777777" w:rsidR="00E55F91" w:rsidRDefault="00E55F91" w:rsidP="00407ADE">
      <w:pPr>
        <w:spacing w:after="0" w:line="240" w:lineRule="auto"/>
      </w:pPr>
      <w:r>
        <w:separator/>
      </w:r>
    </w:p>
  </w:footnote>
  <w:footnote w:type="continuationSeparator" w:id="0">
    <w:p w14:paraId="21990DBF" w14:textId="77777777" w:rsidR="00E55F91" w:rsidRDefault="00E55F91" w:rsidP="00407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082"/>
    <w:multiLevelType w:val="hybridMultilevel"/>
    <w:tmpl w:val="D0920AC8"/>
    <w:lvl w:ilvl="0" w:tplc="5A4A324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2055540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F78"/>
    <w:rsid w:val="00005A7D"/>
    <w:rsid w:val="00054F90"/>
    <w:rsid w:val="00104B68"/>
    <w:rsid w:val="003035F1"/>
    <w:rsid w:val="003505B1"/>
    <w:rsid w:val="00407ADE"/>
    <w:rsid w:val="004E2B54"/>
    <w:rsid w:val="004E6374"/>
    <w:rsid w:val="004F2520"/>
    <w:rsid w:val="005F0997"/>
    <w:rsid w:val="007847A9"/>
    <w:rsid w:val="00815C2B"/>
    <w:rsid w:val="00973477"/>
    <w:rsid w:val="009A5559"/>
    <w:rsid w:val="009E77CE"/>
    <w:rsid w:val="00A172AF"/>
    <w:rsid w:val="00A17ED7"/>
    <w:rsid w:val="00B07F78"/>
    <w:rsid w:val="00B6389B"/>
    <w:rsid w:val="00DD041C"/>
    <w:rsid w:val="00E26525"/>
    <w:rsid w:val="00E55F91"/>
    <w:rsid w:val="00E82C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778D"/>
  <w15:chartTrackingRefBased/>
  <w15:docId w15:val="{CE32EA63-0A3B-45A3-A4AB-A7ECC30E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F78"/>
    <w:pPr>
      <w:widowControl w:val="0"/>
      <w:wordWrap w:val="0"/>
      <w:autoSpaceDE w:val="0"/>
      <w:autoSpaceDN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7F78"/>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Header">
    <w:name w:val="header"/>
    <w:basedOn w:val="Normal"/>
    <w:link w:val="HeaderChar"/>
    <w:uiPriority w:val="99"/>
    <w:unhideWhenUsed/>
    <w:rsid w:val="00407ADE"/>
    <w:pPr>
      <w:tabs>
        <w:tab w:val="center" w:pos="4513"/>
        <w:tab w:val="right" w:pos="9026"/>
      </w:tabs>
      <w:snapToGrid w:val="0"/>
    </w:pPr>
  </w:style>
  <w:style w:type="character" w:customStyle="1" w:styleId="HeaderChar">
    <w:name w:val="Header Char"/>
    <w:basedOn w:val="DefaultParagraphFont"/>
    <w:link w:val="Header"/>
    <w:uiPriority w:val="99"/>
    <w:rsid w:val="00407ADE"/>
  </w:style>
  <w:style w:type="paragraph" w:styleId="Footer">
    <w:name w:val="footer"/>
    <w:basedOn w:val="Normal"/>
    <w:link w:val="FooterChar"/>
    <w:uiPriority w:val="99"/>
    <w:unhideWhenUsed/>
    <w:rsid w:val="00407ADE"/>
    <w:pPr>
      <w:tabs>
        <w:tab w:val="center" w:pos="4513"/>
        <w:tab w:val="right" w:pos="9026"/>
      </w:tabs>
      <w:snapToGrid w:val="0"/>
    </w:pPr>
  </w:style>
  <w:style w:type="character" w:customStyle="1" w:styleId="FooterChar">
    <w:name w:val="Footer Char"/>
    <w:basedOn w:val="DefaultParagraphFont"/>
    <w:link w:val="Footer"/>
    <w:uiPriority w:val="99"/>
    <w:rsid w:val="00407ADE"/>
  </w:style>
  <w:style w:type="table" w:styleId="TableGrid">
    <w:name w:val="Table Grid"/>
    <w:basedOn w:val="TableNormal"/>
    <w:uiPriority w:val="39"/>
    <w:rsid w:val="00054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5A7D"/>
    <w:pPr>
      <w:ind w:leftChars="400" w:left="800"/>
    </w:pPr>
  </w:style>
  <w:style w:type="paragraph" w:customStyle="1" w:styleId="a">
    <w:name w:val="바탕글"/>
    <w:basedOn w:val="Normal"/>
    <w:rsid w:val="004F2520"/>
    <w:pPr>
      <w:spacing w:after="0" w:line="384" w:lineRule="auto"/>
      <w:textAlignment w:val="baseline"/>
    </w:pPr>
    <w:rPr>
      <w:rFonts w:ascii="Batang" w:eastAsia="Gulim" w:hAnsi="Gulim" w:cs="Gulim"/>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2773">
      <w:bodyDiv w:val="1"/>
      <w:marLeft w:val="0"/>
      <w:marRight w:val="0"/>
      <w:marTop w:val="0"/>
      <w:marBottom w:val="0"/>
      <w:divBdr>
        <w:top w:val="none" w:sz="0" w:space="0" w:color="auto"/>
        <w:left w:val="none" w:sz="0" w:space="0" w:color="auto"/>
        <w:bottom w:val="none" w:sz="0" w:space="0" w:color="auto"/>
        <w:right w:val="none" w:sz="0" w:space="0" w:color="auto"/>
      </w:divBdr>
    </w:div>
    <w:div w:id="1124806259">
      <w:bodyDiv w:val="1"/>
      <w:marLeft w:val="0"/>
      <w:marRight w:val="0"/>
      <w:marTop w:val="0"/>
      <w:marBottom w:val="0"/>
      <w:divBdr>
        <w:top w:val="none" w:sz="0" w:space="0" w:color="auto"/>
        <w:left w:val="none" w:sz="0" w:space="0" w:color="auto"/>
        <w:bottom w:val="none" w:sz="0" w:space="0" w:color="auto"/>
        <w:right w:val="none" w:sz="0" w:space="0" w:color="auto"/>
      </w:divBdr>
    </w:div>
    <w:div w:id="1636980867">
      <w:bodyDiv w:val="1"/>
      <w:marLeft w:val="0"/>
      <w:marRight w:val="0"/>
      <w:marTop w:val="0"/>
      <w:marBottom w:val="0"/>
      <w:divBdr>
        <w:top w:val="none" w:sz="0" w:space="0" w:color="auto"/>
        <w:left w:val="none" w:sz="0" w:space="0" w:color="auto"/>
        <w:bottom w:val="none" w:sz="0" w:space="0" w:color="auto"/>
        <w:right w:val="none" w:sz="0" w:space="0" w:color="auto"/>
      </w:divBdr>
    </w:div>
    <w:div w:id="2005357376">
      <w:bodyDiv w:val="1"/>
      <w:marLeft w:val="0"/>
      <w:marRight w:val="0"/>
      <w:marTop w:val="0"/>
      <w:marBottom w:val="0"/>
      <w:divBdr>
        <w:top w:val="none" w:sz="0" w:space="0" w:color="auto"/>
        <w:left w:val="none" w:sz="0" w:space="0" w:color="auto"/>
        <w:bottom w:val="none" w:sz="0" w:space="0" w:color="auto"/>
        <w:right w:val="none" w:sz="0" w:space="0" w:color="auto"/>
      </w:divBdr>
      <w:divsChild>
        <w:div w:id="1677268971">
          <w:marLeft w:val="-180"/>
          <w:marRight w:val="-180"/>
          <w:marTop w:val="0"/>
          <w:marBottom w:val="0"/>
          <w:divBdr>
            <w:top w:val="none" w:sz="0" w:space="0" w:color="auto"/>
            <w:left w:val="none" w:sz="0" w:space="0" w:color="auto"/>
            <w:bottom w:val="none" w:sz="0" w:space="0" w:color="auto"/>
            <w:right w:val="none" w:sz="0" w:space="0" w:color="auto"/>
          </w:divBdr>
          <w:divsChild>
            <w:div w:id="2139300789">
              <w:marLeft w:val="0"/>
              <w:marRight w:val="0"/>
              <w:marTop w:val="0"/>
              <w:marBottom w:val="0"/>
              <w:divBdr>
                <w:top w:val="none" w:sz="0" w:space="0" w:color="auto"/>
                <w:left w:val="none" w:sz="0" w:space="0" w:color="auto"/>
                <w:bottom w:val="none" w:sz="0" w:space="0" w:color="auto"/>
                <w:right w:val="none" w:sz="0" w:space="0" w:color="auto"/>
              </w:divBdr>
            </w:div>
          </w:divsChild>
        </w:div>
        <w:div w:id="2102481671">
          <w:marLeft w:val="-180"/>
          <w:marRight w:val="-180"/>
          <w:marTop w:val="0"/>
          <w:marBottom w:val="0"/>
          <w:divBdr>
            <w:top w:val="none" w:sz="0" w:space="0" w:color="auto"/>
            <w:left w:val="none" w:sz="0" w:space="0" w:color="auto"/>
            <w:bottom w:val="none" w:sz="0" w:space="0" w:color="auto"/>
            <w:right w:val="none" w:sz="0" w:space="0" w:color="auto"/>
          </w:divBdr>
          <w:divsChild>
            <w:div w:id="414061025">
              <w:marLeft w:val="0"/>
              <w:marRight w:val="0"/>
              <w:marTop w:val="0"/>
              <w:marBottom w:val="0"/>
              <w:divBdr>
                <w:top w:val="none" w:sz="0" w:space="0" w:color="auto"/>
                <w:left w:val="none" w:sz="0" w:space="0" w:color="auto"/>
                <w:bottom w:val="none" w:sz="0" w:space="0" w:color="auto"/>
                <w:right w:val="none" w:sz="0" w:space="0" w:color="auto"/>
              </w:divBdr>
            </w:div>
          </w:divsChild>
        </w:div>
        <w:div w:id="719209947">
          <w:marLeft w:val="-180"/>
          <w:marRight w:val="-180"/>
          <w:marTop w:val="0"/>
          <w:marBottom w:val="0"/>
          <w:divBdr>
            <w:top w:val="none" w:sz="0" w:space="0" w:color="auto"/>
            <w:left w:val="none" w:sz="0" w:space="0" w:color="auto"/>
            <w:bottom w:val="none" w:sz="0" w:space="0" w:color="auto"/>
            <w:right w:val="none" w:sz="0" w:space="0" w:color="auto"/>
          </w:divBdr>
          <w:divsChild>
            <w:div w:id="1452742385">
              <w:marLeft w:val="0"/>
              <w:marRight w:val="0"/>
              <w:marTop w:val="0"/>
              <w:marBottom w:val="0"/>
              <w:divBdr>
                <w:top w:val="none" w:sz="0" w:space="0" w:color="auto"/>
                <w:left w:val="none" w:sz="0" w:space="0" w:color="auto"/>
                <w:bottom w:val="none" w:sz="0" w:space="0" w:color="auto"/>
                <w:right w:val="none" w:sz="0" w:space="0" w:color="auto"/>
              </w:divBdr>
            </w:div>
          </w:divsChild>
        </w:div>
        <w:div w:id="1752046147">
          <w:marLeft w:val="-180"/>
          <w:marRight w:val="-180"/>
          <w:marTop w:val="0"/>
          <w:marBottom w:val="0"/>
          <w:divBdr>
            <w:top w:val="none" w:sz="0" w:space="0" w:color="auto"/>
            <w:left w:val="none" w:sz="0" w:space="0" w:color="auto"/>
            <w:bottom w:val="none" w:sz="0" w:space="0" w:color="auto"/>
            <w:right w:val="none" w:sz="0" w:space="0" w:color="auto"/>
          </w:divBdr>
          <w:divsChild>
            <w:div w:id="41057285">
              <w:marLeft w:val="0"/>
              <w:marRight w:val="0"/>
              <w:marTop w:val="0"/>
              <w:marBottom w:val="0"/>
              <w:divBdr>
                <w:top w:val="none" w:sz="0" w:space="0" w:color="auto"/>
                <w:left w:val="none" w:sz="0" w:space="0" w:color="auto"/>
                <w:bottom w:val="none" w:sz="0" w:space="0" w:color="auto"/>
                <w:right w:val="none" w:sz="0" w:space="0" w:color="auto"/>
              </w:divBdr>
            </w:div>
          </w:divsChild>
        </w:div>
        <w:div w:id="560361947">
          <w:marLeft w:val="-180"/>
          <w:marRight w:val="-180"/>
          <w:marTop w:val="0"/>
          <w:marBottom w:val="0"/>
          <w:divBdr>
            <w:top w:val="none" w:sz="0" w:space="0" w:color="auto"/>
            <w:left w:val="none" w:sz="0" w:space="0" w:color="auto"/>
            <w:bottom w:val="none" w:sz="0" w:space="0" w:color="auto"/>
            <w:right w:val="none" w:sz="0" w:space="0" w:color="auto"/>
          </w:divBdr>
          <w:divsChild>
            <w:div w:id="2146584035">
              <w:marLeft w:val="0"/>
              <w:marRight w:val="0"/>
              <w:marTop w:val="0"/>
              <w:marBottom w:val="0"/>
              <w:divBdr>
                <w:top w:val="none" w:sz="0" w:space="0" w:color="auto"/>
                <w:left w:val="none" w:sz="0" w:space="0" w:color="auto"/>
                <w:bottom w:val="none" w:sz="0" w:space="0" w:color="auto"/>
                <w:right w:val="none" w:sz="0" w:space="0" w:color="auto"/>
              </w:divBdr>
            </w:div>
          </w:divsChild>
        </w:div>
        <w:div w:id="2054649841">
          <w:marLeft w:val="-180"/>
          <w:marRight w:val="-180"/>
          <w:marTop w:val="0"/>
          <w:marBottom w:val="0"/>
          <w:divBdr>
            <w:top w:val="none" w:sz="0" w:space="0" w:color="auto"/>
            <w:left w:val="none" w:sz="0" w:space="0" w:color="auto"/>
            <w:bottom w:val="none" w:sz="0" w:space="0" w:color="auto"/>
            <w:right w:val="none" w:sz="0" w:space="0" w:color="auto"/>
          </w:divBdr>
          <w:divsChild>
            <w:div w:id="350448360">
              <w:marLeft w:val="0"/>
              <w:marRight w:val="0"/>
              <w:marTop w:val="0"/>
              <w:marBottom w:val="0"/>
              <w:divBdr>
                <w:top w:val="none" w:sz="0" w:space="0" w:color="auto"/>
                <w:left w:val="none" w:sz="0" w:space="0" w:color="auto"/>
                <w:bottom w:val="none" w:sz="0" w:space="0" w:color="auto"/>
                <w:right w:val="none" w:sz="0" w:space="0" w:color="auto"/>
              </w:divBdr>
            </w:div>
          </w:divsChild>
        </w:div>
        <w:div w:id="1046636691">
          <w:marLeft w:val="-180"/>
          <w:marRight w:val="-180"/>
          <w:marTop w:val="0"/>
          <w:marBottom w:val="0"/>
          <w:divBdr>
            <w:top w:val="none" w:sz="0" w:space="0" w:color="auto"/>
            <w:left w:val="none" w:sz="0" w:space="0" w:color="auto"/>
            <w:bottom w:val="none" w:sz="0" w:space="0" w:color="auto"/>
            <w:right w:val="none" w:sz="0" w:space="0" w:color="auto"/>
          </w:divBdr>
          <w:divsChild>
            <w:div w:id="2113428024">
              <w:marLeft w:val="0"/>
              <w:marRight w:val="0"/>
              <w:marTop w:val="0"/>
              <w:marBottom w:val="0"/>
              <w:divBdr>
                <w:top w:val="none" w:sz="0" w:space="0" w:color="auto"/>
                <w:left w:val="none" w:sz="0" w:space="0" w:color="auto"/>
                <w:bottom w:val="none" w:sz="0" w:space="0" w:color="auto"/>
                <w:right w:val="none" w:sz="0" w:space="0" w:color="auto"/>
              </w:divBdr>
            </w:div>
          </w:divsChild>
        </w:div>
        <w:div w:id="1851679560">
          <w:marLeft w:val="-180"/>
          <w:marRight w:val="-1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1811</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김익수</cp:lastModifiedBy>
  <cp:revision>2</cp:revision>
  <dcterms:created xsi:type="dcterms:W3CDTF">2025-09-18T00:08:00Z</dcterms:created>
  <dcterms:modified xsi:type="dcterms:W3CDTF">2025-09-18T00:08:00Z</dcterms:modified>
</cp:coreProperties>
</file>