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85" w:rsidRPr="000A6A70" w:rsidRDefault="00CF5085" w:rsidP="00CF5085">
      <w:pPr>
        <w:wordWrap/>
        <w:spacing w:line="480" w:lineRule="auto"/>
        <w:rPr>
          <w:rFonts w:ascii="Times New Roman"/>
          <w:b/>
          <w:color w:val="auto"/>
          <w:sz w:val="28"/>
        </w:rPr>
      </w:pPr>
      <w:proofErr w:type="spellStart"/>
      <w:r w:rsidRPr="000A6A70">
        <w:rPr>
          <w:rFonts w:ascii="Times New Roman" w:hint="eastAsia"/>
          <w:b/>
          <w:color w:val="auto"/>
          <w:sz w:val="28"/>
        </w:rPr>
        <w:t>Epacs</w:t>
      </w:r>
      <w:proofErr w:type="spellEnd"/>
      <w:r w:rsidR="000A6A70" w:rsidRPr="000A6A70">
        <w:rPr>
          <w:rFonts w:ascii="Times New Roman"/>
          <w:b/>
          <w:color w:val="auto"/>
          <w:sz w:val="28"/>
        </w:rPr>
        <w:t>,</w:t>
      </w:r>
      <w:r w:rsidRPr="000A6A70">
        <w:rPr>
          <w:rFonts w:ascii="Times New Roman" w:hint="eastAsia"/>
          <w:b/>
          <w:color w:val="auto"/>
          <w:sz w:val="28"/>
        </w:rPr>
        <w:t xml:space="preserve"> leptin resistance</w:t>
      </w:r>
      <w:r w:rsidR="000A6A70" w:rsidRPr="000A6A70">
        <w:rPr>
          <w:rFonts w:ascii="Times New Roman"/>
          <w:b/>
          <w:color w:val="auto"/>
          <w:sz w:val="28"/>
        </w:rPr>
        <w:t xml:space="preserve"> and basal sympathetic nervous activity</w:t>
      </w:r>
    </w:p>
    <w:p w:rsidR="00CF5085" w:rsidRPr="00CF5085" w:rsidRDefault="00CF5085" w:rsidP="00CF5085">
      <w:pPr>
        <w:wordWrap/>
        <w:spacing w:line="480" w:lineRule="auto"/>
        <w:rPr>
          <w:rFonts w:ascii="Times New Roman"/>
          <w:color w:val="auto"/>
          <w:sz w:val="24"/>
        </w:rPr>
      </w:pPr>
    </w:p>
    <w:p w:rsidR="00CF5085" w:rsidRPr="009B54A3" w:rsidRDefault="00CF5085" w:rsidP="00CF5085">
      <w:pPr>
        <w:wordWrap/>
        <w:spacing w:line="480" w:lineRule="auto"/>
        <w:rPr>
          <w:color w:val="auto"/>
        </w:rPr>
      </w:pPr>
      <w:r w:rsidRPr="009B54A3">
        <w:rPr>
          <w:rFonts w:ascii="Times New Roman"/>
          <w:color w:val="auto"/>
          <w:sz w:val="24"/>
        </w:rPr>
        <w:t xml:space="preserve">Exchange proteins directly activated by </w:t>
      </w:r>
      <w:proofErr w:type="spellStart"/>
      <w:r w:rsidRPr="009B54A3">
        <w:rPr>
          <w:rFonts w:ascii="Times New Roman"/>
          <w:color w:val="auto"/>
          <w:sz w:val="24"/>
        </w:rPr>
        <w:t>cAMP</w:t>
      </w:r>
      <w:proofErr w:type="spellEnd"/>
      <w:r w:rsidRPr="009B54A3">
        <w:rPr>
          <w:rFonts w:ascii="Times New Roman"/>
          <w:color w:val="auto"/>
          <w:sz w:val="24"/>
        </w:rPr>
        <w:t xml:space="preserve"> (</w:t>
      </w:r>
      <w:proofErr w:type="spellStart"/>
      <w:r w:rsidRPr="009B54A3">
        <w:rPr>
          <w:rFonts w:ascii="Times New Roman"/>
          <w:color w:val="auto"/>
          <w:sz w:val="24"/>
        </w:rPr>
        <w:t>Epacs</w:t>
      </w:r>
      <w:proofErr w:type="spellEnd"/>
      <w:r w:rsidRPr="009B54A3">
        <w:rPr>
          <w:rFonts w:ascii="Times New Roman"/>
          <w:color w:val="auto"/>
          <w:sz w:val="24"/>
        </w:rPr>
        <w:t xml:space="preserve">) are involved in </w:t>
      </w:r>
      <w:proofErr w:type="spellStart"/>
      <w:r w:rsidRPr="009B54A3">
        <w:rPr>
          <w:rFonts w:ascii="Times New Roman"/>
          <w:color w:val="auto"/>
          <w:sz w:val="24"/>
        </w:rPr>
        <w:t>cAMP</w:t>
      </w:r>
      <w:proofErr w:type="spellEnd"/>
      <w:r w:rsidRPr="009B54A3">
        <w:rPr>
          <w:rFonts w:ascii="Times New Roman"/>
          <w:color w:val="auto"/>
          <w:sz w:val="24"/>
        </w:rPr>
        <w:t xml:space="preserve"> signaling,</w:t>
      </w:r>
      <w:r>
        <w:rPr>
          <w:rFonts w:ascii="Times New Roman"/>
          <w:color w:val="auto"/>
          <w:sz w:val="24"/>
        </w:rPr>
        <w:t xml:space="preserve"> which is</w:t>
      </w:r>
      <w:r w:rsidRPr="009B54A3">
        <w:rPr>
          <w:rFonts w:ascii="Times New Roman"/>
          <w:color w:val="auto"/>
          <w:sz w:val="24"/>
        </w:rPr>
        <w:t xml:space="preserve"> essential for controlling cellular metabolism. While Epac1 increases leptin resistance, the role of Epac2a, a splice variant of Epac2, in obesity remains unclear. In this study, global Epac2a knockout (KO) mice were utilized to explore Epac2a functions. KO mice exhibited an early-onset increase of plasma leptin levels and decrease of plasma adiponectin levels, but normal glucose tolerance and insulin sensitivity. However, an acute pharmacological leptin dose injected </w:t>
      </w:r>
      <w:proofErr w:type="spellStart"/>
      <w:r w:rsidRPr="009B54A3">
        <w:rPr>
          <w:rFonts w:ascii="Times New Roman"/>
          <w:color w:val="auto"/>
          <w:sz w:val="24"/>
        </w:rPr>
        <w:t>intraperitoneally</w:t>
      </w:r>
      <w:proofErr w:type="spellEnd"/>
      <w:r w:rsidRPr="009B54A3">
        <w:rPr>
          <w:rFonts w:ascii="Times New Roman"/>
          <w:color w:val="auto"/>
          <w:sz w:val="24"/>
        </w:rPr>
        <w:t xml:space="preserve"> (</w:t>
      </w:r>
      <w:proofErr w:type="spellStart"/>
      <w:r w:rsidRPr="009B54A3">
        <w:rPr>
          <w:rFonts w:ascii="Times New Roman"/>
          <w:color w:val="auto"/>
          <w:sz w:val="24"/>
        </w:rPr>
        <w:t>i.p</w:t>
      </w:r>
      <w:proofErr w:type="spellEnd"/>
      <w:r w:rsidRPr="009B54A3">
        <w:rPr>
          <w:rFonts w:ascii="Times New Roman"/>
          <w:color w:val="auto"/>
          <w:sz w:val="24"/>
        </w:rPr>
        <w:t>. leptin) resulted in impaired hypothalamic leptin signaling in KO mice. Consistently, KO mice</w:t>
      </w:r>
      <w:r>
        <w:rPr>
          <w:rFonts w:ascii="Times New Roman"/>
          <w:color w:val="auto"/>
          <w:sz w:val="24"/>
        </w:rPr>
        <w:t xml:space="preserve"> fed a</w:t>
      </w:r>
      <w:r w:rsidRPr="009B54A3">
        <w:rPr>
          <w:rFonts w:ascii="Times New Roman"/>
          <w:color w:val="auto"/>
          <w:sz w:val="24"/>
        </w:rPr>
        <w:t xml:space="preserve"> high-fat diet (HFD) </w:t>
      </w:r>
      <w:r>
        <w:rPr>
          <w:rFonts w:ascii="Times New Roman"/>
          <w:color w:val="auto"/>
          <w:sz w:val="24"/>
        </w:rPr>
        <w:t xml:space="preserve">were </w:t>
      </w:r>
      <w:r w:rsidRPr="009B54A3">
        <w:rPr>
          <w:rFonts w:ascii="Times New Roman"/>
          <w:color w:val="auto"/>
          <w:sz w:val="24"/>
        </w:rPr>
        <w:t xml:space="preserve">significantly </w:t>
      </w:r>
      <w:r>
        <w:rPr>
          <w:rFonts w:ascii="Times New Roman"/>
          <w:color w:val="auto"/>
          <w:sz w:val="24"/>
        </w:rPr>
        <w:t>obese, presenting</w:t>
      </w:r>
      <w:r w:rsidRPr="009B54A3">
        <w:rPr>
          <w:rFonts w:ascii="Times New Roman"/>
          <w:color w:val="auto"/>
          <w:sz w:val="24"/>
        </w:rPr>
        <w:t xml:space="preserve"> greater food intake and lower energy expenditure. </w:t>
      </w:r>
      <w:r>
        <w:rPr>
          <w:rFonts w:ascii="Times New Roman"/>
          <w:color w:val="auto"/>
          <w:sz w:val="24"/>
        </w:rPr>
        <w:t xml:space="preserve">Additionally, </w:t>
      </w:r>
      <w:r w:rsidRPr="009B54A3">
        <w:rPr>
          <w:rFonts w:ascii="Times New Roman"/>
          <w:color w:val="auto"/>
          <w:sz w:val="24"/>
        </w:rPr>
        <w:t>HFD</w:t>
      </w:r>
      <w:r>
        <w:rPr>
          <w:rFonts w:ascii="Times New Roman"/>
          <w:color w:val="auto"/>
          <w:sz w:val="24"/>
        </w:rPr>
        <w:t xml:space="preserve"> </w:t>
      </w:r>
      <w:r w:rsidRPr="009B54A3">
        <w:rPr>
          <w:rFonts w:ascii="Times New Roman"/>
          <w:color w:val="auto"/>
          <w:sz w:val="24"/>
        </w:rPr>
        <w:t>fed KO mice were characterized by hig</w:t>
      </w:r>
      <w:bookmarkStart w:id="0" w:name="_GoBack"/>
      <w:bookmarkEnd w:id="0"/>
      <w:r w:rsidRPr="009B54A3">
        <w:rPr>
          <w:rFonts w:ascii="Times New Roman"/>
          <w:color w:val="auto"/>
          <w:sz w:val="24"/>
        </w:rPr>
        <w:t xml:space="preserve">her plasma leptin levels, impaired hypothalamic leptin signaling, and failure of appetite lowering response to leptin. In wild-type mice, </w:t>
      </w:r>
      <w:proofErr w:type="spellStart"/>
      <w:r w:rsidRPr="009B54A3">
        <w:rPr>
          <w:rFonts w:ascii="Times New Roman"/>
          <w:color w:val="auto"/>
          <w:sz w:val="24"/>
        </w:rPr>
        <w:t>i.p</w:t>
      </w:r>
      <w:proofErr w:type="spellEnd"/>
      <w:r w:rsidRPr="009B54A3">
        <w:rPr>
          <w:rFonts w:ascii="Times New Roman"/>
          <w:color w:val="auto"/>
          <w:sz w:val="24"/>
        </w:rPr>
        <w:t xml:space="preserve">. leptin or chronic HFD feeding tended to induce hypothalamic </w:t>
      </w:r>
      <w:r w:rsidRPr="000A6A70">
        <w:rPr>
          <w:rFonts w:ascii="Times New Roman" w:hAnsi="Times New Roman" w:cs="Times New Roman"/>
          <w:color w:val="auto"/>
          <w:sz w:val="24"/>
        </w:rPr>
        <w:t xml:space="preserve">Epac2a expression. </w:t>
      </w:r>
      <w:r w:rsidR="000A6A70" w:rsidRPr="000A6A70">
        <w:rPr>
          <w:rFonts w:ascii="Times New Roman" w:hAnsi="Times New Roman" w:cs="Times New Roman"/>
          <w:sz w:val="24"/>
          <w:szCs w:val="24"/>
        </w:rPr>
        <w:t xml:space="preserve">Compared to age-matched wild-type mice, Epac2a-KO mice showed greater energy expenditure and expression of </w:t>
      </w:r>
      <w:proofErr w:type="spellStart"/>
      <w:r w:rsidR="000A6A70" w:rsidRPr="000A6A70">
        <w:rPr>
          <w:rFonts w:ascii="Times New Roman" w:hAnsi="Times New Roman" w:cs="Times New Roman"/>
          <w:sz w:val="24"/>
          <w:szCs w:val="24"/>
        </w:rPr>
        <w:t>myogenin</w:t>
      </w:r>
      <w:proofErr w:type="spellEnd"/>
      <w:r w:rsidR="000A6A70" w:rsidRPr="000A6A70">
        <w:rPr>
          <w:rFonts w:ascii="Times New Roman" w:hAnsi="Times New Roman" w:cs="Times New Roman"/>
          <w:sz w:val="24"/>
          <w:szCs w:val="24"/>
        </w:rPr>
        <w:t xml:space="preserve"> and uncoupling protein-1 in skeletal muscle (SM) and brown adipose tissue (BAT), respectively. Epac2a-KO mice exhibited greater endurance to dexamethasone and cold stress. In wild-type mice, exogenous leptin mimicked the responses observed in Epac2a-KO mice. This suggests that leptin-mediated hypothalamic signaling toward SNA appears to be intact in these mice. </w:t>
      </w:r>
      <w:r w:rsidRPr="000A6A70">
        <w:rPr>
          <w:rFonts w:ascii="Times New Roman" w:hAnsi="Times New Roman" w:cs="Times New Roman"/>
          <w:color w:val="auto"/>
          <w:sz w:val="24"/>
        </w:rPr>
        <w:t>Considering that HFD is an inducer of hypothalamic leptin resistance and that Epac2a functions in pancreatic beta cells during demands of higher insulin secretion, hypothalamic</w:t>
      </w:r>
      <w:r w:rsidRPr="009B54A3">
        <w:rPr>
          <w:rFonts w:ascii="Times New Roman"/>
          <w:color w:val="auto"/>
          <w:sz w:val="24"/>
        </w:rPr>
        <w:t xml:space="preserve"> Epac2a may facilitate leptin signaling during high metabolic demand</w:t>
      </w:r>
      <w:r>
        <w:rPr>
          <w:rFonts w:ascii="Times New Roman"/>
          <w:color w:val="auto"/>
          <w:sz w:val="24"/>
        </w:rPr>
        <w:t>s</w:t>
      </w:r>
      <w:r w:rsidRPr="009B54A3">
        <w:rPr>
          <w:rFonts w:ascii="Times New Roman"/>
          <w:color w:val="auto"/>
          <w:sz w:val="24"/>
        </w:rPr>
        <w:t>. Thus, Epac2a activators may be used to manage obesity and obesity-mediated metabolic disorders.</w:t>
      </w:r>
    </w:p>
    <w:p w:rsidR="00B3665B" w:rsidRPr="00CF5085" w:rsidRDefault="000A6A70"/>
    <w:sectPr w:rsidR="00B3665B" w:rsidRPr="00CF50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한컴바탕">
    <w:altName w:val="Arial Unicode MS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85"/>
    <w:rsid w:val="000A6A70"/>
    <w:rsid w:val="00481855"/>
    <w:rsid w:val="00AD6B1D"/>
    <w:rsid w:val="00C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BD30A"/>
  <w15:chartTrackingRefBased/>
  <w15:docId w15:val="{3BE8D43B-3A52-4B8B-BF27-9EC60325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rsid w:val="00CF50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송대규교수</cp:lastModifiedBy>
  <cp:revision>2</cp:revision>
  <dcterms:created xsi:type="dcterms:W3CDTF">2018-01-02T05:58:00Z</dcterms:created>
  <dcterms:modified xsi:type="dcterms:W3CDTF">2018-01-02T05:58:00Z</dcterms:modified>
</cp:coreProperties>
</file>