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716" w:rsidRPr="00E85EB7" w:rsidRDefault="00ED2A87" w:rsidP="006B56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85EB7">
        <w:rPr>
          <w:rFonts w:ascii="Arial" w:hAnsi="Arial" w:cs="Arial"/>
          <w:b/>
          <w:sz w:val="24"/>
          <w:szCs w:val="24"/>
        </w:rPr>
        <w:t>Regulation of vascular function by mi</w:t>
      </w:r>
      <w:r w:rsidR="00107134" w:rsidRPr="00E85EB7">
        <w:rPr>
          <w:rFonts w:ascii="Arial" w:hAnsi="Arial" w:cs="Arial"/>
          <w:b/>
          <w:sz w:val="24"/>
          <w:szCs w:val="24"/>
        </w:rPr>
        <w:t>cro</w:t>
      </w:r>
      <w:r w:rsidRPr="00E85EB7">
        <w:rPr>
          <w:rFonts w:ascii="Arial" w:hAnsi="Arial" w:cs="Arial"/>
          <w:b/>
          <w:sz w:val="24"/>
          <w:szCs w:val="24"/>
        </w:rPr>
        <w:t>RNAs</w:t>
      </w:r>
    </w:p>
    <w:p w:rsidR="00ED2A87" w:rsidRPr="00E85EB7" w:rsidRDefault="008D1A07" w:rsidP="006B56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85EB7">
        <w:rPr>
          <w:rFonts w:ascii="Arial" w:hAnsi="Arial" w:cs="Arial"/>
          <w:b/>
          <w:sz w:val="24"/>
          <w:szCs w:val="24"/>
        </w:rPr>
        <w:t>Young-</w:t>
      </w:r>
      <w:proofErr w:type="spellStart"/>
      <w:r w:rsidRPr="00E85EB7">
        <w:rPr>
          <w:rFonts w:ascii="Arial" w:hAnsi="Arial" w:cs="Arial"/>
          <w:b/>
          <w:sz w:val="24"/>
          <w:szCs w:val="24"/>
        </w:rPr>
        <w:t>Myeong</w:t>
      </w:r>
      <w:proofErr w:type="spellEnd"/>
      <w:r w:rsidRPr="00E85EB7">
        <w:rPr>
          <w:rFonts w:ascii="Arial" w:hAnsi="Arial" w:cs="Arial"/>
          <w:b/>
          <w:sz w:val="24"/>
          <w:szCs w:val="24"/>
        </w:rPr>
        <w:t xml:space="preserve"> Kim</w:t>
      </w:r>
    </w:p>
    <w:p w:rsidR="008D1A07" w:rsidRPr="00E85EB7" w:rsidRDefault="005B2B42" w:rsidP="006B560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85EB7">
        <w:rPr>
          <w:rFonts w:ascii="Arial" w:hAnsi="Arial" w:cs="Arial"/>
          <w:sz w:val="24"/>
          <w:szCs w:val="24"/>
        </w:rPr>
        <w:t xml:space="preserve">Laboratory of Vascular Homeostasis, </w:t>
      </w:r>
      <w:r w:rsidR="008D1A07" w:rsidRPr="00E85EB7">
        <w:rPr>
          <w:rFonts w:ascii="Arial" w:hAnsi="Arial" w:cs="Arial"/>
          <w:sz w:val="24"/>
          <w:szCs w:val="24"/>
        </w:rPr>
        <w:t>Department of Molecular and Cellular Biochemistry</w:t>
      </w:r>
      <w:r w:rsidRPr="00E85EB7">
        <w:rPr>
          <w:rFonts w:ascii="Arial" w:hAnsi="Arial" w:cs="Arial"/>
          <w:sz w:val="24"/>
          <w:szCs w:val="24"/>
        </w:rPr>
        <w:t xml:space="preserve">. School </w:t>
      </w:r>
      <w:r w:rsidR="006B560C" w:rsidRPr="00E85EB7">
        <w:rPr>
          <w:rFonts w:ascii="Arial" w:hAnsi="Arial" w:cs="Arial"/>
          <w:sz w:val="24"/>
          <w:szCs w:val="24"/>
        </w:rPr>
        <w:t xml:space="preserve">of Medicine, </w:t>
      </w:r>
      <w:proofErr w:type="spellStart"/>
      <w:r w:rsidR="006B560C" w:rsidRPr="00E85EB7">
        <w:rPr>
          <w:rFonts w:ascii="Arial" w:hAnsi="Arial" w:cs="Arial"/>
          <w:sz w:val="24"/>
          <w:szCs w:val="24"/>
        </w:rPr>
        <w:t>Kangwon</w:t>
      </w:r>
      <w:proofErr w:type="spellEnd"/>
      <w:r w:rsidR="006B560C" w:rsidRPr="00E85EB7">
        <w:rPr>
          <w:rFonts w:ascii="Arial" w:hAnsi="Arial" w:cs="Arial"/>
          <w:sz w:val="24"/>
          <w:szCs w:val="24"/>
        </w:rPr>
        <w:t xml:space="preserve"> National Un</w:t>
      </w:r>
      <w:r w:rsidRPr="00E85EB7">
        <w:rPr>
          <w:rFonts w:ascii="Arial" w:hAnsi="Arial" w:cs="Arial"/>
          <w:sz w:val="24"/>
          <w:szCs w:val="24"/>
        </w:rPr>
        <w:t>iversity</w:t>
      </w:r>
    </w:p>
    <w:p w:rsidR="00C270C6" w:rsidRPr="00F50A77" w:rsidRDefault="00E85EB7" w:rsidP="00F50A77">
      <w:pPr>
        <w:spacing w:line="360" w:lineRule="auto"/>
        <w:rPr>
          <w:rFonts w:ascii="Arial" w:hAnsi="Arial" w:cs="Arial" w:hint="eastAsia"/>
          <w:bCs/>
          <w:sz w:val="24"/>
        </w:rPr>
      </w:pPr>
      <w:r w:rsidRPr="00E85EB7">
        <w:rPr>
          <w:rFonts w:ascii="Arial" w:hAnsi="Arial" w:cs="Arial"/>
          <w:b/>
          <w:sz w:val="24"/>
          <w:szCs w:val="24"/>
        </w:rPr>
        <w:t>[Abstract]</w:t>
      </w:r>
      <w:r w:rsidRPr="00E85EB7">
        <w:rPr>
          <w:rFonts w:ascii="Arial" w:hAnsi="Arial" w:cs="Arial"/>
          <w:sz w:val="24"/>
          <w:szCs w:val="24"/>
        </w:rPr>
        <w:t xml:space="preserve"> </w:t>
      </w:r>
      <w:r w:rsidR="00ED2A87" w:rsidRPr="00E85EB7">
        <w:rPr>
          <w:rFonts w:ascii="Arial" w:hAnsi="Arial" w:cs="Arial"/>
          <w:sz w:val="24"/>
          <w:szCs w:val="24"/>
        </w:rPr>
        <w:t xml:space="preserve">We identified several </w:t>
      </w:r>
      <w:r w:rsidR="00107134" w:rsidRPr="00E85EB7">
        <w:rPr>
          <w:rFonts w:ascii="Arial" w:hAnsi="Arial" w:cs="Arial"/>
          <w:sz w:val="24"/>
          <w:szCs w:val="24"/>
        </w:rPr>
        <w:t>microRNAs (</w:t>
      </w:r>
      <w:r w:rsidR="00ED2A87" w:rsidRPr="00E85EB7">
        <w:rPr>
          <w:rFonts w:ascii="Arial" w:hAnsi="Arial" w:cs="Arial"/>
          <w:sz w:val="24"/>
          <w:szCs w:val="24"/>
        </w:rPr>
        <w:t>miRNAs</w:t>
      </w:r>
      <w:r w:rsidR="00107134" w:rsidRPr="00E85EB7">
        <w:rPr>
          <w:rFonts w:ascii="Arial" w:hAnsi="Arial" w:cs="Arial"/>
          <w:sz w:val="24"/>
          <w:szCs w:val="24"/>
        </w:rPr>
        <w:t>)</w:t>
      </w:r>
      <w:r w:rsidR="00ED2A87" w:rsidRPr="00E85EB7">
        <w:rPr>
          <w:rFonts w:ascii="Arial" w:hAnsi="Arial" w:cs="Arial"/>
          <w:sz w:val="24"/>
          <w:szCs w:val="24"/>
        </w:rPr>
        <w:t xml:space="preserve"> that are expressionally regulated by cellular stresses and TNF-</w:t>
      </w:r>
      <w:r w:rsidR="00ED2A87" w:rsidRPr="00E85EB7">
        <w:rPr>
          <w:rFonts w:ascii="Arial" w:hAnsi="Arial" w:cs="Arial"/>
          <w:sz w:val="24"/>
          <w:szCs w:val="24"/>
        </w:rPr>
        <w:sym w:font="Symbol" w:char="F061"/>
      </w:r>
      <w:r w:rsidR="00ED2A87" w:rsidRPr="00E85EB7">
        <w:rPr>
          <w:rFonts w:ascii="Arial" w:hAnsi="Arial" w:cs="Arial"/>
          <w:sz w:val="24"/>
          <w:szCs w:val="24"/>
        </w:rPr>
        <w:t xml:space="preserve">. Among them, </w:t>
      </w:r>
      <w:r w:rsidR="00107134" w:rsidRPr="00E85EB7">
        <w:rPr>
          <w:rFonts w:ascii="Arial" w:hAnsi="Arial" w:cs="Arial"/>
          <w:sz w:val="24"/>
          <w:szCs w:val="24"/>
        </w:rPr>
        <w:t>miRNA (</w:t>
      </w:r>
      <w:r w:rsidR="00ED2A87" w:rsidRPr="00E85EB7">
        <w:rPr>
          <w:rFonts w:ascii="Arial" w:hAnsi="Arial" w:cs="Arial"/>
          <w:sz w:val="24"/>
          <w:szCs w:val="24"/>
        </w:rPr>
        <w:t>miR</w:t>
      </w:r>
      <w:r w:rsidR="00107134" w:rsidRPr="00E85EB7">
        <w:rPr>
          <w:rFonts w:ascii="Arial" w:hAnsi="Arial" w:cs="Arial"/>
          <w:sz w:val="24"/>
          <w:szCs w:val="24"/>
        </w:rPr>
        <w:t>)</w:t>
      </w:r>
      <w:r w:rsidR="00ED2A87" w:rsidRPr="00E85EB7">
        <w:rPr>
          <w:rFonts w:ascii="Arial" w:hAnsi="Arial" w:cs="Arial"/>
          <w:sz w:val="24"/>
          <w:szCs w:val="24"/>
        </w:rPr>
        <w:t>-155 was up-regulated in HUVECs exposed to TNF-</w:t>
      </w:r>
      <w:r w:rsidR="00ED2A87" w:rsidRPr="00E85EB7">
        <w:rPr>
          <w:rFonts w:ascii="Arial" w:hAnsi="Arial" w:cs="Arial"/>
          <w:sz w:val="24"/>
          <w:szCs w:val="24"/>
        </w:rPr>
        <w:sym w:font="Symbol" w:char="F061"/>
      </w:r>
      <w:r w:rsidR="00ED2A87" w:rsidRPr="00E85EB7">
        <w:rPr>
          <w:rFonts w:ascii="Arial" w:hAnsi="Arial" w:cs="Arial"/>
          <w:sz w:val="24"/>
          <w:szCs w:val="24"/>
        </w:rPr>
        <w:t>, a risk factor of vascular diseases</w:t>
      </w:r>
      <w:r w:rsidR="0033626F">
        <w:rPr>
          <w:rFonts w:ascii="Arial" w:hAnsi="Arial" w:cs="Arial"/>
          <w:sz w:val="24"/>
          <w:szCs w:val="24"/>
        </w:rPr>
        <w:t>.</w:t>
      </w:r>
      <w:r w:rsidR="00ED2A87" w:rsidRPr="00E85EB7">
        <w:rPr>
          <w:rFonts w:ascii="Arial" w:hAnsi="Arial" w:cs="Arial"/>
          <w:sz w:val="24"/>
          <w:szCs w:val="24"/>
        </w:rPr>
        <w:t xml:space="preserve"> This miRNA downregulated eNOS expression at the post-transcriptional level by targeting the 3’-UTR of human eNOS</w:t>
      </w:r>
      <w:r w:rsidR="00CD2FCE" w:rsidRPr="00E85EB7">
        <w:rPr>
          <w:rFonts w:ascii="Arial" w:hAnsi="Arial" w:cs="Arial"/>
          <w:sz w:val="24"/>
          <w:szCs w:val="24"/>
        </w:rPr>
        <w:t>, resulting in endothelial dysfunction, endothelial progenitor cell differ</w:t>
      </w:r>
      <w:r w:rsidR="0033626F">
        <w:rPr>
          <w:rFonts w:ascii="Arial" w:hAnsi="Arial" w:cs="Arial"/>
          <w:sz w:val="24"/>
          <w:szCs w:val="24"/>
        </w:rPr>
        <w:t>entiation, angiogenesis</w:t>
      </w:r>
      <w:r w:rsidR="00CD2FCE" w:rsidRPr="00E85EB7">
        <w:rPr>
          <w:rFonts w:ascii="Arial" w:hAnsi="Arial" w:cs="Arial"/>
          <w:sz w:val="24"/>
          <w:szCs w:val="24"/>
        </w:rPr>
        <w:t xml:space="preserve">, and vasoconstriction. </w:t>
      </w:r>
      <w:r w:rsidR="00107134" w:rsidRPr="00E85EB7">
        <w:rPr>
          <w:rFonts w:ascii="Arial" w:hAnsi="Arial" w:cs="Arial"/>
          <w:sz w:val="24"/>
          <w:szCs w:val="24"/>
        </w:rPr>
        <w:t xml:space="preserve">Pretreatment with aspirin or carbon monoxide (CO, a major </w:t>
      </w:r>
      <w:r w:rsidR="006B560C" w:rsidRPr="00E85EB7">
        <w:rPr>
          <w:rFonts w:ascii="Arial" w:hAnsi="Arial" w:cs="Arial"/>
          <w:sz w:val="24"/>
          <w:szCs w:val="24"/>
        </w:rPr>
        <w:t>catabolic</w:t>
      </w:r>
      <w:r w:rsidR="00107134" w:rsidRPr="00E85EB7">
        <w:rPr>
          <w:rFonts w:ascii="Arial" w:hAnsi="Arial" w:cs="Arial"/>
          <w:sz w:val="24"/>
          <w:szCs w:val="24"/>
        </w:rPr>
        <w:t xml:space="preserve"> product of heme by heme oxygenase-1, HO-1) reversed TNF-</w:t>
      </w:r>
      <w:r w:rsidR="00107134" w:rsidRPr="00E85EB7">
        <w:rPr>
          <w:rFonts w:ascii="Arial" w:hAnsi="Arial" w:cs="Arial"/>
          <w:sz w:val="24"/>
          <w:szCs w:val="24"/>
        </w:rPr>
        <w:sym w:font="Symbol" w:char="F061"/>
      </w:r>
      <w:r w:rsidR="00107134" w:rsidRPr="00E85EB7">
        <w:rPr>
          <w:rFonts w:ascii="Arial" w:hAnsi="Arial" w:cs="Arial"/>
          <w:sz w:val="24"/>
          <w:szCs w:val="24"/>
        </w:rPr>
        <w:t>-induced miR-155 expression and eNOS downregulation</w:t>
      </w:r>
      <w:r w:rsidR="00C270C6" w:rsidRPr="00E85EB7">
        <w:rPr>
          <w:rFonts w:ascii="Arial" w:hAnsi="Arial" w:cs="Arial"/>
          <w:sz w:val="24"/>
          <w:szCs w:val="24"/>
        </w:rPr>
        <w:t>, leading to improvement of vascular relaxation in the vasculature</w:t>
      </w:r>
      <w:r w:rsidR="00107134" w:rsidRPr="00E85EB7">
        <w:rPr>
          <w:rFonts w:ascii="Arial" w:hAnsi="Arial" w:cs="Arial"/>
          <w:sz w:val="24"/>
          <w:szCs w:val="24"/>
        </w:rPr>
        <w:t xml:space="preserve">. These results suggest that aspirin and HO-1-derived CO </w:t>
      </w:r>
      <w:r w:rsidR="00C270C6" w:rsidRPr="00E85EB7">
        <w:rPr>
          <w:rFonts w:ascii="Arial" w:hAnsi="Arial" w:cs="Arial"/>
          <w:sz w:val="24"/>
          <w:szCs w:val="24"/>
        </w:rPr>
        <w:t xml:space="preserve">prevents endothelia dysfunction associated with decreased eNOS expression </w:t>
      </w:r>
      <w:r w:rsidR="00C270C6" w:rsidRPr="00E85EB7">
        <w:rPr>
          <w:rFonts w:ascii="Arial" w:hAnsi="Arial" w:cs="Arial"/>
          <w:color w:val="000000"/>
          <w:kern w:val="0"/>
          <w:sz w:val="24"/>
        </w:rPr>
        <w:t xml:space="preserve">under vascular inflammatory conditions. In addition, miR-101 </w:t>
      </w:r>
      <w:r w:rsidR="006B560C" w:rsidRPr="00E85EB7">
        <w:rPr>
          <w:rFonts w:ascii="Arial" w:hAnsi="Arial" w:cs="Arial"/>
          <w:color w:val="000000"/>
          <w:kern w:val="0"/>
          <w:sz w:val="24"/>
        </w:rPr>
        <w:t>was</w:t>
      </w:r>
      <w:r w:rsidR="00C270C6" w:rsidRPr="00E85EB7">
        <w:rPr>
          <w:rFonts w:ascii="Arial" w:hAnsi="Arial" w:cs="Arial"/>
          <w:color w:val="000000"/>
          <w:kern w:val="0"/>
          <w:sz w:val="24"/>
        </w:rPr>
        <w:t xml:space="preserve"> downregulated by serum deprivation. Decreased miR-101 increase</w:t>
      </w:r>
      <w:r w:rsidR="006B560C" w:rsidRPr="00E85EB7">
        <w:rPr>
          <w:rFonts w:ascii="Arial" w:hAnsi="Arial" w:cs="Arial"/>
          <w:color w:val="000000"/>
          <w:kern w:val="0"/>
          <w:sz w:val="24"/>
        </w:rPr>
        <w:t>d</w:t>
      </w:r>
      <w:r w:rsidR="00C270C6" w:rsidRPr="00E85EB7">
        <w:rPr>
          <w:rFonts w:ascii="Arial" w:hAnsi="Arial" w:cs="Arial"/>
          <w:color w:val="000000"/>
          <w:kern w:val="0"/>
          <w:sz w:val="24"/>
        </w:rPr>
        <w:t xml:space="preserve"> the pro-apoptotic protein Bim </w:t>
      </w:r>
      <w:r w:rsidR="008D1A07" w:rsidRPr="00E85EB7">
        <w:rPr>
          <w:rFonts w:ascii="Arial" w:hAnsi="Arial" w:cs="Arial"/>
          <w:color w:val="000000"/>
          <w:kern w:val="0"/>
          <w:sz w:val="24"/>
        </w:rPr>
        <w:t xml:space="preserve">expression by targeting its 3’-UTR, resulting in mitochondrial dysfunction, such as cytochrome c release and reactive oxygen species production. These events </w:t>
      </w:r>
      <w:r w:rsidR="006B560C" w:rsidRPr="00E85EB7">
        <w:rPr>
          <w:rFonts w:ascii="Arial" w:hAnsi="Arial" w:cs="Arial"/>
          <w:color w:val="000000"/>
          <w:kern w:val="0"/>
          <w:sz w:val="24"/>
        </w:rPr>
        <w:t>were</w:t>
      </w:r>
      <w:r w:rsidR="008D1A07" w:rsidRPr="00E85EB7">
        <w:rPr>
          <w:rFonts w:ascii="Arial" w:hAnsi="Arial" w:cs="Arial"/>
          <w:color w:val="000000"/>
          <w:kern w:val="0"/>
          <w:sz w:val="24"/>
        </w:rPr>
        <w:t xml:space="preserve"> directly associated with endothelial cell apoptosis via caspase-3 and -1 activation, and they suggest the involvement of miR-101 in serum deprivation-induced apoptosis. </w:t>
      </w:r>
      <w:r w:rsidR="008D1A07" w:rsidRPr="00E85EB7">
        <w:rPr>
          <w:rFonts w:ascii="Arial" w:hAnsi="Arial" w:cs="Arial"/>
          <w:bCs/>
          <w:sz w:val="24"/>
        </w:rPr>
        <w:t>These findings provide mechanistic insight into a novel function of miR-155 and miR-101 in endothelial dysfunction associated with cardiovascular diseases, including atherosclerosis, stroke, diabetic hypertension, and preeclampsia.</w:t>
      </w:r>
      <w:bookmarkStart w:id="0" w:name="_GoBack"/>
      <w:bookmarkEnd w:id="0"/>
    </w:p>
    <w:sectPr w:rsidR="00C270C6" w:rsidRPr="00F50A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87"/>
    <w:rsid w:val="000F1283"/>
    <w:rsid w:val="00107134"/>
    <w:rsid w:val="0033626F"/>
    <w:rsid w:val="005B2B42"/>
    <w:rsid w:val="006B560C"/>
    <w:rsid w:val="008D1A07"/>
    <w:rsid w:val="00C270C6"/>
    <w:rsid w:val="00CD2FCE"/>
    <w:rsid w:val="00D61716"/>
    <w:rsid w:val="00E85EB7"/>
    <w:rsid w:val="00ED2A87"/>
    <w:rsid w:val="00F5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6B9F8F-1826-45A7-9B9B-FA149190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710AC-A399-4BE4-9AAC-B8771C51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2016-11-15T07:40:00Z</dcterms:created>
  <dcterms:modified xsi:type="dcterms:W3CDTF">2016-11-15T07:40:00Z</dcterms:modified>
</cp:coreProperties>
</file>