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5090" w:rsidRPr="00F65090" w:rsidRDefault="00F65090" w:rsidP="00F65090">
      <w:pPr>
        <w:widowControl/>
        <w:wordWrap/>
        <w:autoSpaceDE/>
        <w:autoSpaceDN/>
        <w:spacing w:after="0" w:line="240" w:lineRule="auto"/>
        <w:jc w:val="left"/>
        <w:rPr>
          <w:rFonts w:ascii="Calibri" w:eastAsia="굴림" w:hAnsi="Calibri" w:cs="Calibri"/>
          <w:color w:val="000000"/>
          <w:kern w:val="0"/>
          <w:szCs w:val="20"/>
        </w:rPr>
      </w:pPr>
      <w:r w:rsidRPr="00F65090">
        <w:rPr>
          <w:rFonts w:ascii="Calibri" w:eastAsia="굴림" w:hAnsi="Calibri" w:cs="Calibri"/>
          <w:b/>
          <w:bCs/>
          <w:color w:val="000000"/>
          <w:kern w:val="0"/>
          <w:sz w:val="22"/>
        </w:rPr>
        <w:t>Abstract</w:t>
      </w:r>
    </w:p>
    <w:p w:rsidR="00F65090" w:rsidRDefault="00F65090" w:rsidP="00F65090">
      <w:pPr>
        <w:widowControl/>
        <w:wordWrap/>
        <w:autoSpaceDE/>
        <w:autoSpaceDN/>
        <w:spacing w:after="0" w:line="240" w:lineRule="auto"/>
        <w:jc w:val="left"/>
        <w:rPr>
          <w:rFonts w:ascii="Calibri" w:eastAsia="굴림" w:hAnsi="Calibri" w:cs="Calibri"/>
          <w:color w:val="000000"/>
          <w:kern w:val="0"/>
          <w:sz w:val="22"/>
          <w:u w:val="single"/>
        </w:rPr>
      </w:pPr>
      <w:r w:rsidRPr="00F65090">
        <w:rPr>
          <w:rFonts w:ascii="Calibri" w:eastAsia="굴림" w:hAnsi="Calibri" w:cs="Calibri"/>
          <w:color w:val="000000"/>
          <w:kern w:val="0"/>
          <w:sz w:val="22"/>
          <w:u w:val="single"/>
        </w:rPr>
        <w:t>Advanced Genetics: Mosaic Analysis Tools &amp; Short Conditional Introns</w:t>
      </w:r>
    </w:p>
    <w:p w:rsidR="004B0818" w:rsidRPr="00F65090" w:rsidRDefault="004B0818" w:rsidP="00F65090">
      <w:pPr>
        <w:widowControl/>
        <w:wordWrap/>
        <w:autoSpaceDE/>
        <w:autoSpaceDN/>
        <w:spacing w:after="0" w:line="240" w:lineRule="auto"/>
        <w:jc w:val="left"/>
        <w:rPr>
          <w:rFonts w:ascii="Calibri" w:eastAsia="굴림" w:hAnsi="Calibri" w:cs="Calibri" w:hint="eastAsia"/>
          <w:color w:val="000000"/>
          <w:kern w:val="0"/>
          <w:szCs w:val="20"/>
        </w:rPr>
      </w:pPr>
      <w:bookmarkStart w:id="0" w:name="_GoBack"/>
      <w:bookmarkEnd w:id="0"/>
    </w:p>
    <w:p w:rsidR="00F65090" w:rsidRPr="00F65090" w:rsidRDefault="00F65090" w:rsidP="00F65090">
      <w:pPr>
        <w:widowControl/>
        <w:wordWrap/>
        <w:autoSpaceDE/>
        <w:autoSpaceDN/>
        <w:spacing w:after="0" w:line="240" w:lineRule="auto"/>
        <w:jc w:val="left"/>
        <w:rPr>
          <w:rFonts w:ascii="Calibri" w:eastAsia="굴림" w:hAnsi="Calibri" w:cs="Calibri"/>
          <w:color w:val="000000"/>
          <w:kern w:val="0"/>
          <w:szCs w:val="20"/>
        </w:rPr>
      </w:pPr>
      <w:r w:rsidRPr="00F65090">
        <w:rPr>
          <w:rFonts w:ascii="Calibri" w:eastAsia="굴림" w:hAnsi="Calibri" w:cs="Calibri"/>
          <w:color w:val="000000"/>
          <w:kern w:val="0"/>
          <w:sz w:val="22"/>
        </w:rPr>
        <w:t xml:space="preserve">Image-based lineage tracing has allowed the interrogation of adult tissue turnover kinetics and lineage potential of different cell populations. Based on the </w:t>
      </w:r>
      <w:proofErr w:type="spellStart"/>
      <w:r w:rsidRPr="00F65090">
        <w:rPr>
          <w:rFonts w:ascii="Calibri" w:eastAsia="굴림" w:hAnsi="Calibri" w:cs="Calibri"/>
          <w:color w:val="000000"/>
          <w:kern w:val="0"/>
          <w:sz w:val="22"/>
        </w:rPr>
        <w:t>multicolour</w:t>
      </w:r>
      <w:proofErr w:type="spellEnd"/>
      <w:r w:rsidRPr="00F65090">
        <w:rPr>
          <w:rFonts w:ascii="Calibri" w:eastAsia="굴림" w:hAnsi="Calibri" w:cs="Calibri"/>
          <w:color w:val="000000"/>
          <w:kern w:val="0"/>
          <w:sz w:val="22"/>
        </w:rPr>
        <w:t xml:space="preserve"> reporter systems, several mosaic genetic systems have been developed. Previously, we reported Red2Onco, which ectopically expresses mutated oncogenes together with the RFP, thereby allowing the dissection of expansion kinetics and </w:t>
      </w:r>
      <w:proofErr w:type="spellStart"/>
      <w:r w:rsidRPr="00F65090">
        <w:rPr>
          <w:rFonts w:ascii="Calibri" w:eastAsia="굴림" w:hAnsi="Calibri" w:cs="Calibri"/>
          <w:color w:val="000000"/>
          <w:kern w:val="0"/>
          <w:sz w:val="22"/>
        </w:rPr>
        <w:t>neighbouring</w:t>
      </w:r>
      <w:proofErr w:type="spellEnd"/>
      <w:r w:rsidRPr="00F65090">
        <w:rPr>
          <w:rFonts w:ascii="Calibri" w:eastAsia="굴림" w:hAnsi="Calibri" w:cs="Calibri"/>
          <w:color w:val="000000"/>
          <w:kern w:val="0"/>
          <w:sz w:val="22"/>
        </w:rPr>
        <w:t xml:space="preserve"> effects of oncogenic clones. In the current study, we report Red2Flpe, a new mosaic knockout system with </w:t>
      </w:r>
      <w:proofErr w:type="spellStart"/>
      <w:r w:rsidRPr="00F65090">
        <w:rPr>
          <w:rFonts w:ascii="Calibri" w:eastAsia="굴림" w:hAnsi="Calibri" w:cs="Calibri"/>
          <w:color w:val="000000"/>
          <w:kern w:val="0"/>
          <w:sz w:val="22"/>
        </w:rPr>
        <w:t>multicolour</w:t>
      </w:r>
      <w:proofErr w:type="spellEnd"/>
      <w:r w:rsidRPr="00F65090">
        <w:rPr>
          <w:rFonts w:ascii="Calibri" w:eastAsia="굴림" w:hAnsi="Calibri" w:cs="Calibri"/>
          <w:color w:val="000000"/>
          <w:kern w:val="0"/>
          <w:sz w:val="22"/>
        </w:rPr>
        <w:t xml:space="preserve"> reporters for both mutant and wild-type cells. Red2Flpe shows efficient and specific recombination in the RFP+ clones both in vitro and in vivo. To facilitate new conditional knockout (</w:t>
      </w:r>
      <w:proofErr w:type="spellStart"/>
      <w:r w:rsidRPr="00F65090">
        <w:rPr>
          <w:rFonts w:ascii="Calibri" w:eastAsia="굴림" w:hAnsi="Calibri" w:cs="Calibri"/>
          <w:color w:val="000000"/>
          <w:kern w:val="0"/>
          <w:sz w:val="22"/>
        </w:rPr>
        <w:t>cKO</w:t>
      </w:r>
      <w:proofErr w:type="spellEnd"/>
      <w:r w:rsidRPr="00F65090">
        <w:rPr>
          <w:rFonts w:ascii="Calibri" w:eastAsia="굴림" w:hAnsi="Calibri" w:cs="Calibri"/>
          <w:color w:val="000000"/>
          <w:kern w:val="0"/>
          <w:sz w:val="22"/>
        </w:rPr>
        <w:t xml:space="preserve">) mouse line generation, we have also developed a Short Conditional </w:t>
      </w:r>
      <w:proofErr w:type="spellStart"/>
      <w:r w:rsidRPr="00F65090">
        <w:rPr>
          <w:rFonts w:ascii="Calibri" w:eastAsia="굴림" w:hAnsi="Calibri" w:cs="Calibri"/>
          <w:color w:val="000000"/>
          <w:kern w:val="0"/>
          <w:sz w:val="22"/>
        </w:rPr>
        <w:t>intrON</w:t>
      </w:r>
      <w:proofErr w:type="spellEnd"/>
      <w:r w:rsidRPr="00F65090">
        <w:rPr>
          <w:rFonts w:ascii="Calibri" w:eastAsia="굴림" w:hAnsi="Calibri" w:cs="Calibri"/>
          <w:color w:val="000000"/>
          <w:kern w:val="0"/>
          <w:sz w:val="22"/>
        </w:rPr>
        <w:t xml:space="preserve"> (SCON) technology that is suitable for one-step </w:t>
      </w:r>
      <w:proofErr w:type="spellStart"/>
      <w:r w:rsidRPr="00F65090">
        <w:rPr>
          <w:rFonts w:ascii="Calibri" w:eastAsia="굴림" w:hAnsi="Calibri" w:cs="Calibri"/>
          <w:color w:val="000000"/>
          <w:kern w:val="0"/>
          <w:sz w:val="22"/>
        </w:rPr>
        <w:t>cKO</w:t>
      </w:r>
      <w:proofErr w:type="spellEnd"/>
      <w:r w:rsidRPr="00F65090">
        <w:rPr>
          <w:rFonts w:ascii="Calibri" w:eastAsia="굴림" w:hAnsi="Calibri" w:cs="Calibri"/>
          <w:color w:val="000000"/>
          <w:kern w:val="0"/>
          <w:sz w:val="22"/>
        </w:rPr>
        <w:t xml:space="preserve"> allele generation via zygote injection. SCON is compatible with both </w:t>
      </w:r>
      <w:proofErr w:type="spellStart"/>
      <w:r w:rsidRPr="00F65090">
        <w:rPr>
          <w:rFonts w:ascii="Calibri" w:eastAsia="굴림" w:hAnsi="Calibri" w:cs="Calibri"/>
          <w:color w:val="000000"/>
          <w:kern w:val="0"/>
          <w:sz w:val="22"/>
        </w:rPr>
        <w:t>Cre</w:t>
      </w:r>
      <w:proofErr w:type="spellEnd"/>
      <w:r w:rsidRPr="00F65090">
        <w:rPr>
          <w:rFonts w:ascii="Calibri" w:eastAsia="굴림" w:hAnsi="Calibri" w:cs="Calibri"/>
          <w:color w:val="000000"/>
          <w:kern w:val="0"/>
          <w:sz w:val="22"/>
        </w:rPr>
        <w:t>/</w:t>
      </w:r>
      <w:proofErr w:type="spellStart"/>
      <w:r w:rsidRPr="00F65090">
        <w:rPr>
          <w:rFonts w:ascii="Calibri" w:eastAsia="굴림" w:hAnsi="Calibri" w:cs="Calibri"/>
          <w:color w:val="000000"/>
          <w:kern w:val="0"/>
          <w:sz w:val="22"/>
        </w:rPr>
        <w:t>loxP</w:t>
      </w:r>
      <w:proofErr w:type="spellEnd"/>
      <w:r w:rsidRPr="00F65090">
        <w:rPr>
          <w:rFonts w:ascii="Calibri" w:eastAsia="굴림" w:hAnsi="Calibri" w:cs="Calibri"/>
          <w:color w:val="000000"/>
          <w:kern w:val="0"/>
          <w:sz w:val="22"/>
        </w:rPr>
        <w:t xml:space="preserve">- and </w:t>
      </w:r>
      <w:proofErr w:type="spellStart"/>
      <w:r w:rsidRPr="00F65090">
        <w:rPr>
          <w:rFonts w:ascii="Calibri" w:eastAsia="굴림" w:hAnsi="Calibri" w:cs="Calibri"/>
          <w:color w:val="000000"/>
          <w:kern w:val="0"/>
          <w:sz w:val="22"/>
        </w:rPr>
        <w:t>Flp</w:t>
      </w:r>
      <w:proofErr w:type="spellEnd"/>
      <w:r w:rsidRPr="00F65090">
        <w:rPr>
          <w:rFonts w:ascii="Calibri" w:eastAsia="굴림" w:hAnsi="Calibri" w:cs="Calibri"/>
          <w:color w:val="000000"/>
          <w:kern w:val="0"/>
          <w:sz w:val="22"/>
        </w:rPr>
        <w:t>/</w:t>
      </w:r>
      <w:proofErr w:type="spellStart"/>
      <w:r w:rsidRPr="00F65090">
        <w:rPr>
          <w:rFonts w:ascii="Calibri" w:eastAsia="굴림" w:hAnsi="Calibri" w:cs="Calibri"/>
          <w:color w:val="000000"/>
          <w:kern w:val="0"/>
          <w:sz w:val="22"/>
        </w:rPr>
        <w:t>frt</w:t>
      </w:r>
      <w:proofErr w:type="spellEnd"/>
      <w:r w:rsidRPr="00F65090">
        <w:rPr>
          <w:rFonts w:ascii="Calibri" w:eastAsia="굴림" w:hAnsi="Calibri" w:cs="Calibri"/>
          <w:color w:val="000000"/>
          <w:kern w:val="0"/>
          <w:sz w:val="22"/>
        </w:rPr>
        <w:t xml:space="preserve">-based </w:t>
      </w:r>
      <w:proofErr w:type="spellStart"/>
      <w:r w:rsidRPr="00F65090">
        <w:rPr>
          <w:rFonts w:ascii="Calibri" w:eastAsia="굴림" w:hAnsi="Calibri" w:cs="Calibri"/>
          <w:color w:val="000000"/>
          <w:kern w:val="0"/>
          <w:sz w:val="22"/>
        </w:rPr>
        <w:t>cKO</w:t>
      </w:r>
      <w:proofErr w:type="spellEnd"/>
      <w:r w:rsidRPr="00F65090">
        <w:rPr>
          <w:rFonts w:ascii="Calibri" w:eastAsia="굴림" w:hAnsi="Calibri" w:cs="Calibri"/>
          <w:color w:val="000000"/>
          <w:kern w:val="0"/>
          <w:sz w:val="22"/>
        </w:rPr>
        <w:t xml:space="preserve"> recombination systems. Utilizing Red2Flpe and Sox2-SCONfrt, we investigated the functions of Sox2 in the adult </w:t>
      </w:r>
      <w:proofErr w:type="spellStart"/>
      <w:r w:rsidRPr="00F65090">
        <w:rPr>
          <w:rFonts w:ascii="Calibri" w:eastAsia="굴림" w:hAnsi="Calibri" w:cs="Calibri"/>
          <w:color w:val="000000"/>
          <w:kern w:val="0"/>
          <w:sz w:val="22"/>
        </w:rPr>
        <w:t>oesophagus</w:t>
      </w:r>
      <w:proofErr w:type="spellEnd"/>
      <w:r w:rsidRPr="00F65090">
        <w:rPr>
          <w:rFonts w:ascii="Calibri" w:eastAsia="굴림" w:hAnsi="Calibri" w:cs="Calibri"/>
          <w:color w:val="000000"/>
          <w:kern w:val="0"/>
          <w:sz w:val="22"/>
        </w:rPr>
        <w:t xml:space="preserve"> in which Sox2 has been thought to be crucial for stem cell maintenance and tissue turnover. In conclusion, we have constructed a toolkit for in vivo mosaic knockout studies that is suitable for clonal tracing with internal controls and a pipeline for one-step generation of </w:t>
      </w:r>
      <w:proofErr w:type="spellStart"/>
      <w:r w:rsidRPr="00F65090">
        <w:rPr>
          <w:rFonts w:ascii="Calibri" w:eastAsia="굴림" w:hAnsi="Calibri" w:cs="Calibri"/>
          <w:color w:val="000000"/>
          <w:kern w:val="0"/>
          <w:sz w:val="22"/>
        </w:rPr>
        <w:t>cKO</w:t>
      </w:r>
      <w:proofErr w:type="spellEnd"/>
      <w:r w:rsidRPr="00F65090">
        <w:rPr>
          <w:rFonts w:ascii="Calibri" w:eastAsia="굴림" w:hAnsi="Calibri" w:cs="Calibri"/>
          <w:color w:val="000000"/>
          <w:kern w:val="0"/>
          <w:sz w:val="22"/>
        </w:rPr>
        <w:t xml:space="preserve"> alleles.</w:t>
      </w:r>
    </w:p>
    <w:p w:rsidR="004006AE" w:rsidRPr="00F65090" w:rsidRDefault="004006AE"/>
    <w:sectPr w:rsidR="004006AE" w:rsidRPr="00F6509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090"/>
    <w:rsid w:val="004006AE"/>
    <w:rsid w:val="004B0818"/>
    <w:rsid w:val="00EF6B9D"/>
    <w:rsid w:val="00F65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49B346"/>
  <w15:chartTrackingRefBased/>
  <w15:docId w15:val="{3C5B701D-4764-4087-84CF-50D209CB1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233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문선영</dc:creator>
  <cp:keywords/>
  <dc:description/>
  <cp:lastModifiedBy>문선영</cp:lastModifiedBy>
  <cp:revision>3</cp:revision>
  <dcterms:created xsi:type="dcterms:W3CDTF">2022-09-05T06:32:00Z</dcterms:created>
  <dcterms:modified xsi:type="dcterms:W3CDTF">2022-09-05T06:55:00Z</dcterms:modified>
</cp:coreProperties>
</file>