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307A" w:rsidRPr="00AA5EED" w:rsidRDefault="00D119D2" w:rsidP="0034307A">
      <w:pPr>
        <w:pStyle w:val="3"/>
        <w:jc w:val="center"/>
        <w:rPr>
          <w:rFonts w:ascii="Arial" w:hAnsi="Arial" w:cs="Arial"/>
          <w:sz w:val="28"/>
          <w:szCs w:val="28"/>
          <w:lang w:val="en-US"/>
        </w:rPr>
      </w:pPr>
      <w:r>
        <w:rPr>
          <w:rFonts w:ascii="바탕체" w:eastAsia="바탕체" w:hAnsi="바탕체" w:cs="바탕체" w:hint="eastAsia"/>
          <w:sz w:val="28"/>
          <w:szCs w:val="28"/>
          <w:lang w:val="en-US" w:eastAsia="ko-KR"/>
        </w:rPr>
        <w:t>Pancreatic alpha cells and glucagon physiology</w:t>
      </w:r>
      <w:bookmarkStart w:id="0" w:name="_GoBack"/>
      <w:bookmarkEnd w:id="0"/>
    </w:p>
    <w:p w:rsidR="0034307A" w:rsidRPr="00AA5EED" w:rsidRDefault="0034307A" w:rsidP="00D76659">
      <w:pPr>
        <w:pStyle w:val="3"/>
        <w:spacing w:before="0" w:beforeAutospacing="0" w:after="0" w:afterAutospacing="0"/>
        <w:jc w:val="center"/>
        <w:rPr>
          <w:rFonts w:ascii="Arial" w:hAnsi="Arial" w:cs="Arial"/>
          <w:b w:val="0"/>
          <w:sz w:val="22"/>
          <w:szCs w:val="22"/>
          <w:lang w:val="en-US"/>
        </w:rPr>
      </w:pPr>
      <w:r w:rsidRPr="00AA5EED">
        <w:rPr>
          <w:rFonts w:ascii="Arial" w:hAnsi="Arial" w:cs="Arial"/>
          <w:b w:val="0"/>
          <w:sz w:val="22"/>
          <w:szCs w:val="22"/>
          <w:lang w:val="en-US"/>
        </w:rPr>
        <w:t>P Gilon</w:t>
      </w:r>
    </w:p>
    <w:p w:rsidR="00D76659" w:rsidRPr="00AA5EED" w:rsidRDefault="00D76659" w:rsidP="00D76659">
      <w:pPr>
        <w:pStyle w:val="3"/>
        <w:spacing w:before="0" w:beforeAutospacing="0" w:after="0" w:afterAutospacing="0"/>
        <w:jc w:val="center"/>
        <w:rPr>
          <w:rFonts w:ascii="Arial" w:hAnsi="Arial" w:cs="Arial"/>
          <w:b w:val="0"/>
          <w:sz w:val="22"/>
          <w:szCs w:val="22"/>
          <w:lang w:val="en-US"/>
        </w:rPr>
      </w:pPr>
    </w:p>
    <w:p w:rsidR="0034307A" w:rsidRPr="00D76659" w:rsidRDefault="0034307A" w:rsidP="00D76659">
      <w:pPr>
        <w:jc w:val="center"/>
        <w:rPr>
          <w:rFonts w:ascii="Arial" w:hAnsi="Arial" w:cs="Arial"/>
          <w:bCs/>
          <w:i/>
          <w:sz w:val="22"/>
          <w:szCs w:val="22"/>
          <w:lang w:val="fr-BE"/>
        </w:rPr>
      </w:pPr>
      <w:r w:rsidRPr="00D76659">
        <w:rPr>
          <w:rFonts w:ascii="Arial" w:hAnsi="Arial" w:cs="Arial"/>
          <w:i/>
          <w:sz w:val="22"/>
          <w:szCs w:val="22"/>
          <w:lang w:val="fr-BE"/>
        </w:rPr>
        <w:t>Université Catholique</w:t>
      </w:r>
      <w:r w:rsidR="00667A31" w:rsidRPr="00D76659">
        <w:rPr>
          <w:rFonts w:ascii="Arial" w:hAnsi="Arial" w:cs="Arial"/>
          <w:i/>
          <w:sz w:val="22"/>
          <w:szCs w:val="22"/>
          <w:lang w:val="fr-BE"/>
        </w:rPr>
        <w:t xml:space="preserve"> de Louvain, Brussels, Belgium</w:t>
      </w:r>
    </w:p>
    <w:p w:rsidR="00D76659" w:rsidRPr="00BA440C" w:rsidRDefault="00D76659" w:rsidP="00D76659">
      <w:pPr>
        <w:jc w:val="both"/>
        <w:rPr>
          <w:rFonts w:ascii="Arial" w:hAnsi="Arial" w:cs="Arial"/>
          <w:sz w:val="22"/>
          <w:szCs w:val="22"/>
          <w:lang w:val="fr-BE"/>
        </w:rPr>
      </w:pPr>
    </w:p>
    <w:p w:rsidR="00943CAC" w:rsidRDefault="00BA440C" w:rsidP="00BA440C">
      <w:pPr>
        <w:jc w:val="both"/>
        <w:rPr>
          <w:rFonts w:ascii="Arial" w:hAnsi="Arial" w:cs="Arial"/>
          <w:sz w:val="22"/>
          <w:szCs w:val="22"/>
          <w:lang w:val="en-GB"/>
        </w:rPr>
      </w:pPr>
      <w:r w:rsidRPr="00BA440C">
        <w:rPr>
          <w:rFonts w:ascii="Arial" w:hAnsi="Arial" w:cs="Arial"/>
          <w:sz w:val="22"/>
          <w:szCs w:val="22"/>
          <w:lang w:val="en-GB"/>
        </w:rPr>
        <w:t>Glucagon secreted by pancreatic α-cells is a major hyperglycemic</w:t>
      </w:r>
      <w:r w:rsidR="00943CAC">
        <w:rPr>
          <w:rFonts w:ascii="Arial" w:hAnsi="Arial" w:cs="Arial"/>
          <w:sz w:val="22"/>
          <w:szCs w:val="22"/>
          <w:lang w:val="en-GB"/>
        </w:rPr>
        <w:t xml:space="preserve"> hormone. </w:t>
      </w:r>
      <w:r w:rsidRPr="00BA440C">
        <w:rPr>
          <w:rFonts w:ascii="Arial" w:hAnsi="Arial" w:cs="Arial"/>
          <w:sz w:val="22"/>
          <w:szCs w:val="22"/>
          <w:lang w:val="en-GB"/>
        </w:rPr>
        <w:t>The mechanisms by which glucose inhibits glucagon secretion are poorly understood. In particular, it is still unknown whether the glucagonostatic effect of glucose results from a direct action of the sugar on α-cells or an indirect action involving the release of an inhibitory paracrine factor from neighbouring islet cells, such as insulin released by β-cells or somatostatin released by δ-cells.</w:t>
      </w:r>
      <w:r w:rsidR="00943CAC">
        <w:rPr>
          <w:rFonts w:ascii="Arial" w:hAnsi="Arial" w:cs="Arial"/>
          <w:sz w:val="22"/>
          <w:szCs w:val="22"/>
          <w:lang w:val="en-GB"/>
        </w:rPr>
        <w:t xml:space="preserve"> </w:t>
      </w:r>
      <w:r w:rsidR="003A0920">
        <w:rPr>
          <w:rFonts w:ascii="Arial" w:hAnsi="Arial" w:cs="Arial"/>
          <w:sz w:val="22"/>
          <w:szCs w:val="22"/>
          <w:lang w:val="en-GB"/>
        </w:rPr>
        <w:t xml:space="preserve">I will </w:t>
      </w:r>
      <w:r w:rsidR="00943CAC">
        <w:rPr>
          <w:rFonts w:ascii="Arial" w:hAnsi="Arial" w:cs="Arial"/>
          <w:sz w:val="22"/>
          <w:szCs w:val="22"/>
          <w:lang w:val="en-GB"/>
        </w:rPr>
        <w:t>review data from the literature and present results from our lab. I will address the role of the K</w:t>
      </w:r>
      <w:r w:rsidR="00943CAC" w:rsidRPr="00943CAC">
        <w:rPr>
          <w:rFonts w:ascii="Arial" w:hAnsi="Arial" w:cs="Arial"/>
          <w:sz w:val="22"/>
          <w:szCs w:val="22"/>
          <w:vertAlign w:val="subscript"/>
          <w:lang w:val="en-GB"/>
        </w:rPr>
        <w:t>ATP</w:t>
      </w:r>
      <w:r w:rsidR="00943CAC">
        <w:rPr>
          <w:rFonts w:ascii="Arial" w:hAnsi="Arial" w:cs="Arial"/>
          <w:sz w:val="22"/>
          <w:szCs w:val="22"/>
          <w:lang w:val="en-GB"/>
        </w:rPr>
        <w:t xml:space="preserve"> channels </w:t>
      </w:r>
      <w:r w:rsidR="00AA5EED">
        <w:rPr>
          <w:rFonts w:ascii="Arial" w:hAnsi="Arial" w:cs="Arial"/>
          <w:sz w:val="22"/>
          <w:szCs w:val="22"/>
          <w:lang w:val="en-GB"/>
        </w:rPr>
        <w:t>that</w:t>
      </w:r>
      <w:r w:rsidR="00943CAC">
        <w:rPr>
          <w:rFonts w:ascii="Arial" w:hAnsi="Arial" w:cs="Arial"/>
          <w:sz w:val="22"/>
          <w:szCs w:val="22"/>
          <w:lang w:val="en-GB"/>
        </w:rPr>
        <w:t xml:space="preserve"> are the targets of sulfonylureas and the potential role of other signals/pathways such as cAMP, AMPK and </w:t>
      </w:r>
      <w:r w:rsidR="00AA5EED">
        <w:rPr>
          <w:rFonts w:ascii="Arial" w:hAnsi="Arial" w:cs="Arial"/>
          <w:sz w:val="22"/>
          <w:szCs w:val="22"/>
          <w:lang w:val="en-GB"/>
        </w:rPr>
        <w:t xml:space="preserve">the </w:t>
      </w:r>
      <w:r w:rsidR="00943CAC">
        <w:rPr>
          <w:rFonts w:ascii="Arial" w:hAnsi="Arial" w:cs="Arial"/>
          <w:sz w:val="22"/>
          <w:szCs w:val="22"/>
          <w:lang w:val="en-GB"/>
        </w:rPr>
        <w:t>store-operated current.</w:t>
      </w:r>
      <w:r w:rsidR="002D59AD">
        <w:rPr>
          <w:rFonts w:ascii="Arial" w:hAnsi="Arial" w:cs="Arial"/>
          <w:sz w:val="22"/>
          <w:szCs w:val="22"/>
          <w:lang w:val="en-GB"/>
        </w:rPr>
        <w:t xml:space="preserve"> </w:t>
      </w:r>
      <w:r w:rsidR="00943CAC">
        <w:rPr>
          <w:rFonts w:ascii="Arial" w:hAnsi="Arial" w:cs="Arial"/>
          <w:sz w:val="22"/>
          <w:szCs w:val="22"/>
          <w:lang w:val="en-GB"/>
        </w:rPr>
        <w:t xml:space="preserve">I will also </w:t>
      </w:r>
      <w:r w:rsidR="003A0920">
        <w:rPr>
          <w:rFonts w:ascii="Arial" w:hAnsi="Arial" w:cs="Arial"/>
          <w:sz w:val="22"/>
          <w:szCs w:val="22"/>
          <w:lang w:val="en-GB"/>
        </w:rPr>
        <w:t xml:space="preserve">present data from our lab </w:t>
      </w:r>
      <w:r w:rsidR="00AA5EED">
        <w:rPr>
          <w:rFonts w:ascii="Arial" w:hAnsi="Arial" w:cs="Arial"/>
          <w:sz w:val="22"/>
          <w:szCs w:val="22"/>
          <w:lang w:val="en-GB"/>
        </w:rPr>
        <w:t>on the</w:t>
      </w:r>
      <w:r w:rsidR="003A0920">
        <w:rPr>
          <w:rFonts w:ascii="Arial" w:hAnsi="Arial" w:cs="Arial"/>
          <w:sz w:val="22"/>
          <w:szCs w:val="22"/>
          <w:lang w:val="en-GB"/>
        </w:rPr>
        <w:t xml:space="preserve"> role of </w:t>
      </w:r>
      <w:r w:rsidR="00AA5EED">
        <w:rPr>
          <w:rFonts w:ascii="Arial" w:hAnsi="Arial" w:cs="Arial"/>
          <w:sz w:val="22"/>
          <w:szCs w:val="22"/>
          <w:lang w:val="en-GB"/>
        </w:rPr>
        <w:t xml:space="preserve">somatostatin and insulin in </w:t>
      </w:r>
      <w:r w:rsidR="003A0920">
        <w:rPr>
          <w:rFonts w:ascii="Arial" w:hAnsi="Arial" w:cs="Arial"/>
          <w:sz w:val="22"/>
          <w:szCs w:val="22"/>
          <w:lang w:val="en-GB"/>
        </w:rPr>
        <w:t>th</w:t>
      </w:r>
      <w:r w:rsidR="00943CAC">
        <w:rPr>
          <w:rFonts w:ascii="Arial" w:hAnsi="Arial" w:cs="Arial"/>
          <w:sz w:val="22"/>
          <w:szCs w:val="22"/>
          <w:lang w:val="en-GB"/>
        </w:rPr>
        <w:t>e</w:t>
      </w:r>
      <w:r w:rsidR="003A0920">
        <w:rPr>
          <w:rFonts w:ascii="Arial" w:hAnsi="Arial" w:cs="Arial"/>
          <w:sz w:val="22"/>
          <w:szCs w:val="22"/>
          <w:lang w:val="en-GB"/>
        </w:rPr>
        <w:t xml:space="preserve"> paracrine control </w:t>
      </w:r>
      <w:r w:rsidR="00943CAC">
        <w:rPr>
          <w:rFonts w:ascii="Arial" w:hAnsi="Arial" w:cs="Arial"/>
          <w:sz w:val="22"/>
          <w:szCs w:val="22"/>
          <w:lang w:val="en-GB"/>
        </w:rPr>
        <w:t>of glucagon secretion.</w:t>
      </w:r>
    </w:p>
    <w:p w:rsidR="00943CAC" w:rsidRDefault="00943CAC" w:rsidP="00943CAC">
      <w:pPr>
        <w:ind w:firstLine="720"/>
        <w:jc w:val="both"/>
        <w:rPr>
          <w:rFonts w:ascii="Arial" w:hAnsi="Arial" w:cs="Arial"/>
          <w:sz w:val="22"/>
          <w:szCs w:val="22"/>
          <w:lang w:val="en-GB"/>
        </w:rPr>
      </w:pPr>
      <w:r w:rsidRPr="00BA440C">
        <w:rPr>
          <w:rFonts w:ascii="Arial" w:hAnsi="Arial" w:cs="Arial"/>
          <w:sz w:val="22"/>
          <w:szCs w:val="22"/>
          <w:lang w:val="en-GB"/>
        </w:rPr>
        <w:t>The regulation of glucagon secretion is markedly impaired in diabetic patients in which hyperglucagonemia coexist with chronic hyperglycemia. Furthermore, glucagon secretion in these patients does not increase during hypoglycemic episodes triggered by excessive insulin administration, thereby contributing to diabetes morbidity</w:t>
      </w:r>
      <w:r>
        <w:rPr>
          <w:rFonts w:ascii="Arial" w:hAnsi="Arial" w:cs="Arial"/>
          <w:sz w:val="22"/>
          <w:szCs w:val="22"/>
          <w:lang w:val="en-GB"/>
        </w:rPr>
        <w:t>.</w:t>
      </w:r>
      <w:r w:rsidR="008276D1">
        <w:rPr>
          <w:rFonts w:ascii="Arial" w:hAnsi="Arial" w:cs="Arial"/>
          <w:sz w:val="22"/>
          <w:szCs w:val="22"/>
          <w:lang w:val="en-GB"/>
        </w:rPr>
        <w:t xml:space="preserve"> I will discuss the </w:t>
      </w:r>
      <w:r w:rsidR="002D59AD">
        <w:rPr>
          <w:rFonts w:ascii="Arial" w:hAnsi="Arial" w:cs="Arial"/>
          <w:sz w:val="22"/>
          <w:szCs w:val="22"/>
          <w:lang w:val="en-GB"/>
        </w:rPr>
        <w:t xml:space="preserve">relative </w:t>
      </w:r>
      <w:r w:rsidR="008276D1">
        <w:rPr>
          <w:rFonts w:ascii="Arial" w:hAnsi="Arial" w:cs="Arial"/>
          <w:sz w:val="22"/>
          <w:szCs w:val="22"/>
          <w:lang w:val="en-GB"/>
        </w:rPr>
        <w:t xml:space="preserve">role </w:t>
      </w:r>
      <w:r w:rsidR="002D59AD">
        <w:rPr>
          <w:rFonts w:ascii="Arial" w:hAnsi="Arial" w:cs="Arial"/>
          <w:sz w:val="22"/>
          <w:szCs w:val="22"/>
          <w:lang w:val="en-GB"/>
        </w:rPr>
        <w:t xml:space="preserve">of glucagon in diabetes, the </w:t>
      </w:r>
      <w:r w:rsidR="00AA5EED">
        <w:rPr>
          <w:rFonts w:ascii="Arial" w:hAnsi="Arial" w:cs="Arial"/>
          <w:sz w:val="22"/>
          <w:szCs w:val="22"/>
          <w:lang w:val="en-GB"/>
        </w:rPr>
        <w:t xml:space="preserve">benefits and complications of </w:t>
      </w:r>
      <w:r w:rsidR="002D59AD">
        <w:rPr>
          <w:rFonts w:ascii="Arial" w:hAnsi="Arial" w:cs="Arial"/>
          <w:sz w:val="22"/>
          <w:szCs w:val="22"/>
          <w:lang w:val="en-GB"/>
        </w:rPr>
        <w:t>anti-glucagon therapies, and the recently reported potential side-effects of the gliflozins on α-cells.</w:t>
      </w:r>
    </w:p>
    <w:p w:rsidR="002D59AD" w:rsidRDefault="002D59AD" w:rsidP="00943CAC">
      <w:pPr>
        <w:ind w:firstLine="720"/>
        <w:jc w:val="both"/>
        <w:rPr>
          <w:rFonts w:ascii="Arial" w:hAnsi="Arial" w:cs="Arial"/>
          <w:sz w:val="22"/>
          <w:szCs w:val="22"/>
          <w:lang w:val="en-GB"/>
        </w:rPr>
      </w:pPr>
      <w:r>
        <w:rPr>
          <w:rFonts w:ascii="Arial" w:hAnsi="Arial" w:cs="Arial"/>
          <w:sz w:val="22"/>
          <w:szCs w:val="22"/>
          <w:lang w:val="en-GB"/>
        </w:rPr>
        <w:t>The action of glucagon is not only limited to glucose homeostasis. I will also briefly review some important other actions which might be therapeutically relevant.</w:t>
      </w:r>
    </w:p>
    <w:p w:rsidR="00652BA3" w:rsidRPr="00652BA3" w:rsidRDefault="00652BA3" w:rsidP="00BA440C">
      <w:pPr>
        <w:jc w:val="both"/>
        <w:rPr>
          <w:rFonts w:ascii="Arial" w:hAnsi="Arial" w:cs="Arial"/>
          <w:bCs/>
          <w:sz w:val="22"/>
          <w:szCs w:val="22"/>
        </w:rPr>
      </w:pPr>
    </w:p>
    <w:sectPr w:rsidR="00652BA3" w:rsidRPr="00652BA3" w:rsidSect="00B8127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18EE" w:rsidRDefault="008D18EE" w:rsidP="008737E7">
      <w:r>
        <w:separator/>
      </w:r>
    </w:p>
  </w:endnote>
  <w:endnote w:type="continuationSeparator" w:id="0">
    <w:p w:rsidR="008D18EE" w:rsidRDefault="008D18EE" w:rsidP="00873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바탕체">
    <w:panose1 w:val="02030609000101010101"/>
    <w:charset w:val="81"/>
    <w:family w:val="roman"/>
    <w:pitch w:val="fixed"/>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18EE" w:rsidRDefault="008D18EE" w:rsidP="008737E7">
      <w:r>
        <w:separator/>
      </w:r>
    </w:p>
  </w:footnote>
  <w:footnote w:type="continuationSeparator" w:id="0">
    <w:p w:rsidR="008D18EE" w:rsidRDefault="008D18EE" w:rsidP="008737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7E7"/>
    <w:rsid w:val="000130C5"/>
    <w:rsid w:val="00046D9B"/>
    <w:rsid w:val="00070ACC"/>
    <w:rsid w:val="000C4852"/>
    <w:rsid w:val="000D13D8"/>
    <w:rsid w:val="00170D74"/>
    <w:rsid w:val="001C51C3"/>
    <w:rsid w:val="001C668F"/>
    <w:rsid w:val="001D4AA6"/>
    <w:rsid w:val="001E42F2"/>
    <w:rsid w:val="00234318"/>
    <w:rsid w:val="00260F69"/>
    <w:rsid w:val="00280AC1"/>
    <w:rsid w:val="00282381"/>
    <w:rsid w:val="002D59AD"/>
    <w:rsid w:val="002E5D49"/>
    <w:rsid w:val="002E6BEB"/>
    <w:rsid w:val="002F7ACA"/>
    <w:rsid w:val="00341A73"/>
    <w:rsid w:val="0034307A"/>
    <w:rsid w:val="003461EC"/>
    <w:rsid w:val="0039743A"/>
    <w:rsid w:val="003A0920"/>
    <w:rsid w:val="003B33CE"/>
    <w:rsid w:val="0044535F"/>
    <w:rsid w:val="004B2538"/>
    <w:rsid w:val="004C1578"/>
    <w:rsid w:val="004C429C"/>
    <w:rsid w:val="00507F1A"/>
    <w:rsid w:val="0056065F"/>
    <w:rsid w:val="0058663A"/>
    <w:rsid w:val="00594CD3"/>
    <w:rsid w:val="005B007E"/>
    <w:rsid w:val="005B25E8"/>
    <w:rsid w:val="005C4BF1"/>
    <w:rsid w:val="005D20D6"/>
    <w:rsid w:val="006259F1"/>
    <w:rsid w:val="00652BA3"/>
    <w:rsid w:val="00667A31"/>
    <w:rsid w:val="006A75A7"/>
    <w:rsid w:val="006B3B46"/>
    <w:rsid w:val="006C2B9B"/>
    <w:rsid w:val="00725BA9"/>
    <w:rsid w:val="007B0E47"/>
    <w:rsid w:val="00800948"/>
    <w:rsid w:val="008206FB"/>
    <w:rsid w:val="008276D1"/>
    <w:rsid w:val="00872AB6"/>
    <w:rsid w:val="008737E7"/>
    <w:rsid w:val="008C4656"/>
    <w:rsid w:val="008D18EE"/>
    <w:rsid w:val="008F0269"/>
    <w:rsid w:val="008F400C"/>
    <w:rsid w:val="009119E4"/>
    <w:rsid w:val="00915B91"/>
    <w:rsid w:val="00923679"/>
    <w:rsid w:val="00943CAC"/>
    <w:rsid w:val="00985166"/>
    <w:rsid w:val="009A346E"/>
    <w:rsid w:val="009B236B"/>
    <w:rsid w:val="009E1E71"/>
    <w:rsid w:val="00A03BCD"/>
    <w:rsid w:val="00A27D2B"/>
    <w:rsid w:val="00A37C92"/>
    <w:rsid w:val="00A85F0A"/>
    <w:rsid w:val="00AA5EED"/>
    <w:rsid w:val="00AC2476"/>
    <w:rsid w:val="00AC727C"/>
    <w:rsid w:val="00B06588"/>
    <w:rsid w:val="00B323ED"/>
    <w:rsid w:val="00B62F7E"/>
    <w:rsid w:val="00B77495"/>
    <w:rsid w:val="00B81276"/>
    <w:rsid w:val="00BA440C"/>
    <w:rsid w:val="00BA7863"/>
    <w:rsid w:val="00BD0F5E"/>
    <w:rsid w:val="00BD0FC3"/>
    <w:rsid w:val="00BF7A11"/>
    <w:rsid w:val="00C07988"/>
    <w:rsid w:val="00C14E9B"/>
    <w:rsid w:val="00C619AE"/>
    <w:rsid w:val="00C967C2"/>
    <w:rsid w:val="00CC65A5"/>
    <w:rsid w:val="00CE001E"/>
    <w:rsid w:val="00D119D2"/>
    <w:rsid w:val="00D56652"/>
    <w:rsid w:val="00D70702"/>
    <w:rsid w:val="00D76659"/>
    <w:rsid w:val="00D769F7"/>
    <w:rsid w:val="00DA1756"/>
    <w:rsid w:val="00DD4A49"/>
    <w:rsid w:val="00E479B9"/>
    <w:rsid w:val="00E63ED6"/>
    <w:rsid w:val="00E80D60"/>
    <w:rsid w:val="00E85777"/>
    <w:rsid w:val="00EA0ADE"/>
    <w:rsid w:val="00EC08CF"/>
    <w:rsid w:val="00EE3292"/>
    <w:rsid w:val="00EE7FBB"/>
    <w:rsid w:val="00F046E3"/>
    <w:rsid w:val="00F214CC"/>
    <w:rsid w:val="00F77006"/>
    <w:rsid w:val="00FC36CE"/>
    <w:rsid w:val="00FF51DE"/>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2837CA2-447C-4669-A119-3F55F4CE5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Char"/>
    <w:qFormat/>
    <w:rsid w:val="008737E7"/>
    <w:pPr>
      <w:spacing w:before="100" w:beforeAutospacing="1" w:after="100" w:afterAutospacing="1"/>
      <w:outlineLvl w:val="2"/>
    </w:pPr>
    <w:rPr>
      <w:rFonts w:ascii="Times New Roman" w:eastAsia="SimSun" w:hAnsi="Times New Roman" w:cs="Times New Roman"/>
      <w:b/>
      <w:bCs/>
      <w:sz w:val="27"/>
      <w:szCs w:val="27"/>
      <w:lang w:val="x-none"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제목 3 Char"/>
    <w:basedOn w:val="a0"/>
    <w:link w:val="3"/>
    <w:rsid w:val="008737E7"/>
    <w:rPr>
      <w:rFonts w:ascii="Times New Roman" w:eastAsia="SimSun" w:hAnsi="Times New Roman" w:cs="Times New Roman"/>
      <w:b/>
      <w:bCs/>
      <w:sz w:val="27"/>
      <w:szCs w:val="27"/>
      <w:lang w:val="x-none" w:eastAsia="zh-CN"/>
    </w:rPr>
  </w:style>
  <w:style w:type="paragraph" w:styleId="a3">
    <w:name w:val="header"/>
    <w:basedOn w:val="a"/>
    <w:link w:val="Char"/>
    <w:uiPriority w:val="99"/>
    <w:unhideWhenUsed/>
    <w:rsid w:val="008737E7"/>
    <w:pPr>
      <w:tabs>
        <w:tab w:val="center" w:pos="4680"/>
        <w:tab w:val="right" w:pos="9360"/>
      </w:tabs>
    </w:pPr>
  </w:style>
  <w:style w:type="character" w:customStyle="1" w:styleId="Char">
    <w:name w:val="머리글 Char"/>
    <w:basedOn w:val="a0"/>
    <w:link w:val="a3"/>
    <w:uiPriority w:val="99"/>
    <w:rsid w:val="008737E7"/>
  </w:style>
  <w:style w:type="paragraph" w:styleId="a4">
    <w:name w:val="footer"/>
    <w:basedOn w:val="a"/>
    <w:link w:val="Char0"/>
    <w:uiPriority w:val="99"/>
    <w:unhideWhenUsed/>
    <w:rsid w:val="008737E7"/>
    <w:pPr>
      <w:tabs>
        <w:tab w:val="center" w:pos="4680"/>
        <w:tab w:val="right" w:pos="9360"/>
      </w:tabs>
    </w:pPr>
  </w:style>
  <w:style w:type="character" w:customStyle="1" w:styleId="Char0">
    <w:name w:val="바닥글 Char"/>
    <w:basedOn w:val="a0"/>
    <w:link w:val="a4"/>
    <w:uiPriority w:val="99"/>
    <w:rsid w:val="008737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87939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1408</Characters>
  <Application>Microsoft Office Word</Application>
  <DocSecurity>0</DocSecurity>
  <Lines>11</Lines>
  <Paragraphs>3</Paragraphs>
  <ScaleCrop>false</ScaleCrop>
  <HeadingPairs>
    <vt:vector size="8" baseType="variant">
      <vt:variant>
        <vt:lpstr>제목</vt:lpstr>
      </vt:variant>
      <vt:variant>
        <vt:i4>1</vt:i4>
      </vt:variant>
      <vt:variant>
        <vt:lpstr>Titre</vt:lpstr>
      </vt:variant>
      <vt:variant>
        <vt:i4>1</vt:i4>
      </vt:variant>
      <vt:variant>
        <vt:lpstr>Title</vt:lpstr>
      </vt:variant>
      <vt:variant>
        <vt:i4>1</vt:i4>
      </vt:variant>
      <vt:variant>
        <vt:lpstr>Headings</vt:lpstr>
      </vt:variant>
      <vt:variant>
        <vt:i4>1</vt:i4>
      </vt:variant>
    </vt:vector>
  </HeadingPairs>
  <TitlesOfParts>
    <vt:vector size="4" baseType="lpstr">
      <vt:lpstr/>
      <vt:lpstr/>
      <vt:lpstr/>
      <vt:lpstr>        H Chae, BK Lai, A Gómez-Ruiz, N Antoine, P Gilon</vt:lpstr>
    </vt:vector>
  </TitlesOfParts>
  <Company>Université catholique de Louvain</Company>
  <LinksUpToDate>false</LinksUpToDate>
  <CharactersWithSpaces>1652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대호</cp:lastModifiedBy>
  <cp:revision>3</cp:revision>
  <dcterms:created xsi:type="dcterms:W3CDTF">2017-07-04T05:29:00Z</dcterms:created>
  <dcterms:modified xsi:type="dcterms:W3CDTF">2017-07-04T05:29:00Z</dcterms:modified>
</cp:coreProperties>
</file>