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C6236" w14:textId="3640E9B4" w:rsidR="007F1BA0" w:rsidRPr="007F1BA0" w:rsidRDefault="007F1BA0" w:rsidP="00C44CCB">
      <w:pPr>
        <w:spacing w:line="360" w:lineRule="auto"/>
        <w:jc w:val="center"/>
        <w:rPr>
          <w:rFonts w:ascii="Arial" w:hAnsi="Arial" w:cs="Arial"/>
          <w:b/>
        </w:rPr>
      </w:pPr>
      <w:r w:rsidRPr="007F1BA0">
        <w:rPr>
          <w:rFonts w:ascii="Arial" w:hAnsi="Arial" w:cs="Arial"/>
          <w:b/>
        </w:rPr>
        <w:t xml:space="preserve">Modulation of </w:t>
      </w:r>
      <w:r w:rsidR="00BC7BD0">
        <w:rPr>
          <w:rFonts w:ascii="Arial" w:hAnsi="Arial" w:cs="Arial"/>
          <w:b/>
        </w:rPr>
        <w:t>Apoptosis</w:t>
      </w:r>
      <w:r w:rsidRPr="007F1BA0">
        <w:rPr>
          <w:rFonts w:ascii="Arial" w:hAnsi="Arial" w:cs="Arial"/>
          <w:b/>
        </w:rPr>
        <w:t xml:space="preserve"> to Enhance Chimeric Antigen Receptor Cancer Immunotherapy Efficacy</w:t>
      </w:r>
    </w:p>
    <w:p w14:paraId="7D93510C" w14:textId="77777777" w:rsidR="00C44CCB" w:rsidRDefault="00C44CCB" w:rsidP="00C44CCB">
      <w:pPr>
        <w:ind w:firstLineChars="2850" w:firstLine="6840"/>
        <w:jc w:val="both"/>
        <w:rPr>
          <w:rFonts w:ascii="Arial" w:hAnsi="Arial" w:cs="Arial"/>
        </w:rPr>
      </w:pPr>
    </w:p>
    <w:p w14:paraId="59BA477C" w14:textId="42E8F1DC" w:rsidR="00C44CCB" w:rsidRDefault="00C44CCB" w:rsidP="00C44CCB">
      <w:pPr>
        <w:spacing w:line="360" w:lineRule="auto"/>
        <w:ind w:firstLineChars="2850" w:firstLine="684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Hanyang</w:t>
      </w:r>
      <w:proofErr w:type="spellEnd"/>
      <w:r>
        <w:rPr>
          <w:rFonts w:ascii="Arial" w:hAnsi="Arial" w:cs="Arial"/>
        </w:rPr>
        <w:t xml:space="preserve"> University</w:t>
      </w:r>
    </w:p>
    <w:p w14:paraId="5A5532EB" w14:textId="77777777" w:rsidR="00C44CCB" w:rsidRPr="002D6EBA" w:rsidRDefault="00C44CCB" w:rsidP="00C44CCB">
      <w:pPr>
        <w:spacing w:line="360" w:lineRule="auto"/>
        <w:ind w:left="7200" w:firstLineChars="100" w:firstLine="240"/>
        <w:jc w:val="both"/>
        <w:rPr>
          <w:rFonts w:ascii="Arial" w:hAnsi="Arial" w:cs="Arial"/>
        </w:rPr>
      </w:pPr>
      <w:r w:rsidRPr="002D6EBA">
        <w:rPr>
          <w:rFonts w:ascii="Arial" w:hAnsi="Arial" w:cs="Arial"/>
        </w:rPr>
        <w:t>Yong Gu Lee</w:t>
      </w:r>
    </w:p>
    <w:p w14:paraId="6B60A3F5" w14:textId="77777777" w:rsidR="007F1BA0" w:rsidRDefault="007F1BA0" w:rsidP="007F1BA0">
      <w:pPr>
        <w:spacing w:line="360" w:lineRule="auto"/>
        <w:jc w:val="both"/>
        <w:rPr>
          <w:rFonts w:ascii="Arial" w:hAnsi="Arial" w:cs="Arial"/>
          <w:b/>
        </w:rPr>
      </w:pPr>
    </w:p>
    <w:p w14:paraId="43456ED9" w14:textId="77777777" w:rsidR="00C44CCB" w:rsidRPr="007F1BA0" w:rsidRDefault="00C44CCB" w:rsidP="007F1BA0">
      <w:pPr>
        <w:spacing w:line="360" w:lineRule="auto"/>
        <w:jc w:val="both"/>
        <w:rPr>
          <w:rFonts w:ascii="Arial" w:hAnsi="Arial" w:cs="Arial"/>
          <w:b/>
        </w:rPr>
      </w:pPr>
    </w:p>
    <w:p w14:paraId="65AC75E3" w14:textId="56503464" w:rsidR="007F1BA0" w:rsidRDefault="007F1BA0" w:rsidP="007F1BA0">
      <w:pPr>
        <w:spacing w:line="360" w:lineRule="auto"/>
        <w:ind w:firstLine="720"/>
        <w:jc w:val="both"/>
        <w:rPr>
          <w:rFonts w:ascii="Arial" w:hAnsi="Arial" w:cs="Arial"/>
        </w:rPr>
      </w:pPr>
      <w:r w:rsidRPr="007F1BA0">
        <w:rPr>
          <w:rFonts w:ascii="Arial" w:hAnsi="Arial" w:cs="Arial"/>
        </w:rPr>
        <w:t xml:space="preserve">Chimeric Antigen Receptor T-cell (CART) immunotherapy led to unprecedented responses in patients with B-cell non-Hodgkin lymphoma, but a mere third of treated patients will experience long-term remission. We observed that in lymphoma cells, chromosomal gain or translocation of the </w:t>
      </w:r>
      <w:r w:rsidR="00BC7BD0">
        <w:rPr>
          <w:rFonts w:ascii="Arial" w:hAnsi="Arial" w:cs="Arial"/>
        </w:rPr>
        <w:t>B</w:t>
      </w:r>
      <w:r w:rsidRPr="007F1BA0">
        <w:rPr>
          <w:rFonts w:ascii="Arial" w:hAnsi="Arial" w:cs="Arial"/>
        </w:rPr>
        <w:t xml:space="preserve">cl-2 gene, a key regulator of apoptosis and a known driver of lymphomagenesis, are associated with increased resistance to </w:t>
      </w:r>
      <w:r w:rsidRPr="007F1BA0">
        <w:rPr>
          <w:rFonts w:ascii="Arial" w:eastAsia="Times New Roman" w:hAnsi="Arial" w:cs="Arial"/>
          <w:lang w:eastAsia="en-US"/>
        </w:rPr>
        <w:t xml:space="preserve">anti-CD19 </w:t>
      </w:r>
      <w:r w:rsidRPr="007F1BA0">
        <w:rPr>
          <w:rFonts w:ascii="Arial" w:hAnsi="Arial" w:cs="Arial"/>
        </w:rPr>
        <w:t xml:space="preserve">CART </w:t>
      </w:r>
      <w:r w:rsidRPr="007F1BA0">
        <w:rPr>
          <w:rFonts w:ascii="Arial" w:eastAsia="Times New Roman" w:hAnsi="Arial" w:cs="Arial"/>
          <w:lang w:eastAsia="en-US"/>
        </w:rPr>
        <w:t>(</w:t>
      </w:r>
      <w:r w:rsidRPr="007F1BA0">
        <w:rPr>
          <w:rFonts w:ascii="Arial" w:hAnsi="Arial" w:cs="Arial"/>
        </w:rPr>
        <w:t xml:space="preserve">CART19). Therefore, to overcome </w:t>
      </w:r>
      <w:r w:rsidR="00C44CCB">
        <w:rPr>
          <w:rFonts w:ascii="Arial" w:hAnsi="Arial" w:cs="Arial"/>
        </w:rPr>
        <w:t>B</w:t>
      </w:r>
      <w:r w:rsidRPr="007F1BA0">
        <w:rPr>
          <w:rFonts w:ascii="Arial" w:hAnsi="Arial" w:cs="Arial"/>
        </w:rPr>
        <w:t xml:space="preserve">cl-2-mediated resistance, we combined CART19 with the FDA-approved </w:t>
      </w:r>
      <w:r w:rsidR="00BC7BD0">
        <w:rPr>
          <w:rFonts w:ascii="Arial" w:hAnsi="Arial" w:cs="Arial"/>
        </w:rPr>
        <w:t>B</w:t>
      </w:r>
      <w:r w:rsidRPr="007F1BA0">
        <w:rPr>
          <w:rFonts w:ascii="Arial" w:hAnsi="Arial" w:cs="Arial"/>
        </w:rPr>
        <w:t xml:space="preserve">cl-2 inhibitor, </w:t>
      </w:r>
      <w:proofErr w:type="spellStart"/>
      <w:r w:rsidRPr="007F1BA0">
        <w:rPr>
          <w:rFonts w:ascii="Arial" w:hAnsi="Arial" w:cs="Arial"/>
        </w:rPr>
        <w:t>venetoclax</w:t>
      </w:r>
      <w:proofErr w:type="spellEnd"/>
      <w:r w:rsidRPr="007F1BA0">
        <w:rPr>
          <w:rFonts w:ascii="Arial" w:hAnsi="Arial" w:cs="Arial"/>
        </w:rPr>
        <w:t xml:space="preserve">, and demonstrated </w:t>
      </w:r>
      <w:r w:rsidRPr="007F1BA0">
        <w:rPr>
          <w:rFonts w:ascii="Arial" w:hAnsi="Arial" w:cs="Arial"/>
          <w:i/>
          <w:iCs/>
        </w:rPr>
        <w:t>in vivo</w:t>
      </w:r>
      <w:r w:rsidRPr="007F1BA0">
        <w:rPr>
          <w:rFonts w:ascii="Arial" w:hAnsi="Arial" w:cs="Arial"/>
        </w:rPr>
        <w:t xml:space="preserve"> synergy in </w:t>
      </w:r>
      <w:proofErr w:type="spellStart"/>
      <w:r w:rsidRPr="007F1BA0">
        <w:rPr>
          <w:rFonts w:ascii="Arial" w:hAnsi="Arial" w:cs="Arial"/>
        </w:rPr>
        <w:t>venetoclax</w:t>
      </w:r>
      <w:proofErr w:type="spellEnd"/>
      <w:r w:rsidRPr="007F1BA0">
        <w:rPr>
          <w:rFonts w:ascii="Arial" w:hAnsi="Arial" w:cs="Arial"/>
        </w:rPr>
        <w:t xml:space="preserve">-sensitive lymphomas. However, higher </w:t>
      </w:r>
      <w:proofErr w:type="spellStart"/>
      <w:r w:rsidRPr="007F1BA0">
        <w:rPr>
          <w:rFonts w:ascii="Arial" w:hAnsi="Arial" w:cs="Arial"/>
        </w:rPr>
        <w:t>venetoclax</w:t>
      </w:r>
      <w:proofErr w:type="spellEnd"/>
      <w:r w:rsidRPr="007F1BA0">
        <w:rPr>
          <w:rFonts w:ascii="Arial" w:hAnsi="Arial" w:cs="Arial"/>
        </w:rPr>
        <w:t xml:space="preserve"> doses required to suppress </w:t>
      </w:r>
      <w:proofErr w:type="spellStart"/>
      <w:r w:rsidRPr="007F1BA0">
        <w:rPr>
          <w:rFonts w:ascii="Arial" w:hAnsi="Arial" w:cs="Arial"/>
        </w:rPr>
        <w:t>venetoclax</w:t>
      </w:r>
      <w:proofErr w:type="spellEnd"/>
      <w:r w:rsidRPr="007F1BA0">
        <w:rPr>
          <w:rFonts w:ascii="Arial" w:hAnsi="Arial" w:cs="Arial"/>
        </w:rPr>
        <w:t xml:space="preserve">-resistant lymphomas led to CART19 toxicity </w:t>
      </w:r>
      <w:r w:rsidRPr="007F1BA0">
        <w:rPr>
          <w:rFonts w:ascii="Arial" w:hAnsi="Arial" w:cs="Arial"/>
          <w:i/>
          <w:iCs/>
        </w:rPr>
        <w:t>in vivo</w:t>
      </w:r>
      <w:r w:rsidRPr="007F1BA0">
        <w:rPr>
          <w:rFonts w:ascii="Arial" w:hAnsi="Arial" w:cs="Arial"/>
        </w:rPr>
        <w:t xml:space="preserve">, due to enhanced T cell apoptosis. To overcome this limitation, we devised a strategy to make CART cells resistant to </w:t>
      </w:r>
      <w:r w:rsidR="00BC7BD0">
        <w:rPr>
          <w:rFonts w:ascii="Arial" w:hAnsi="Arial" w:cs="Arial"/>
        </w:rPr>
        <w:t>B</w:t>
      </w:r>
      <w:r w:rsidRPr="007F1BA0">
        <w:rPr>
          <w:rFonts w:ascii="Arial" w:hAnsi="Arial" w:cs="Arial"/>
        </w:rPr>
        <w:t xml:space="preserve">cl-2-inhibitors by engineering them to express a mutated form of </w:t>
      </w:r>
      <w:r w:rsidR="00BC7BD0">
        <w:rPr>
          <w:rFonts w:ascii="Arial" w:hAnsi="Arial" w:cs="Arial"/>
        </w:rPr>
        <w:t>B</w:t>
      </w:r>
      <w:r w:rsidRPr="007F1BA0">
        <w:rPr>
          <w:rFonts w:ascii="Arial" w:hAnsi="Arial" w:cs="Arial"/>
        </w:rPr>
        <w:t xml:space="preserve">cl-2(F104L) that is found in </w:t>
      </w:r>
      <w:proofErr w:type="spellStart"/>
      <w:r w:rsidRPr="007F1BA0">
        <w:rPr>
          <w:rFonts w:ascii="Arial" w:hAnsi="Arial" w:cs="Arial"/>
        </w:rPr>
        <w:t>venetoclax</w:t>
      </w:r>
      <w:proofErr w:type="spellEnd"/>
      <w:r w:rsidRPr="007F1BA0">
        <w:rPr>
          <w:rFonts w:ascii="Arial" w:hAnsi="Arial" w:cs="Arial"/>
        </w:rPr>
        <w:t xml:space="preserve">-resistant B-cell lymphoma cells. Notably, </w:t>
      </w:r>
      <w:r w:rsidR="00BC7BD0">
        <w:rPr>
          <w:rFonts w:ascii="Arial" w:hAnsi="Arial" w:cs="Arial"/>
        </w:rPr>
        <w:t>B</w:t>
      </w:r>
      <w:r w:rsidRPr="007F1BA0">
        <w:rPr>
          <w:rFonts w:ascii="Arial" w:hAnsi="Arial" w:cs="Arial"/>
        </w:rPr>
        <w:t xml:space="preserve">cl-2(F104L)-CART19 synergized with </w:t>
      </w:r>
      <w:proofErr w:type="spellStart"/>
      <w:r w:rsidRPr="007F1BA0">
        <w:rPr>
          <w:rFonts w:ascii="Arial" w:hAnsi="Arial" w:cs="Arial"/>
        </w:rPr>
        <w:t>venetoclax</w:t>
      </w:r>
      <w:proofErr w:type="spellEnd"/>
      <w:r w:rsidRPr="007F1BA0">
        <w:rPr>
          <w:rFonts w:ascii="Arial" w:hAnsi="Arial" w:cs="Arial"/>
        </w:rPr>
        <w:t xml:space="preserve"> in multiple lymphoma xenograft models. Lastly, we discovered that </w:t>
      </w:r>
      <w:r w:rsidRPr="007F1BA0">
        <w:rPr>
          <w:rFonts w:ascii="Arial" w:hAnsi="Arial" w:cs="Arial"/>
          <w:i/>
          <w:iCs/>
        </w:rPr>
        <w:t>per se</w:t>
      </w:r>
      <w:r w:rsidRPr="007F1BA0">
        <w:rPr>
          <w:rFonts w:ascii="Arial" w:hAnsi="Arial" w:cs="Arial"/>
        </w:rPr>
        <w:t xml:space="preserve"> </w:t>
      </w:r>
      <w:r w:rsidR="00BC7BD0">
        <w:rPr>
          <w:rFonts w:ascii="Arial" w:hAnsi="Arial" w:cs="Arial"/>
        </w:rPr>
        <w:t>B</w:t>
      </w:r>
      <w:r w:rsidRPr="007F1BA0">
        <w:rPr>
          <w:rFonts w:ascii="Arial" w:hAnsi="Arial" w:cs="Arial"/>
        </w:rPr>
        <w:t>cl-2 overexpression in CART19 cells significantly enhanced their anti-tumor activity by increasing their resistance to apoptosis and long-term persistence.</w:t>
      </w:r>
    </w:p>
    <w:p w14:paraId="4FD4B392" w14:textId="77777777" w:rsidR="007F1BA0" w:rsidRDefault="007F1BA0" w:rsidP="007F1BA0">
      <w:pPr>
        <w:spacing w:line="360" w:lineRule="auto"/>
        <w:jc w:val="both"/>
        <w:rPr>
          <w:rFonts w:ascii="Arial" w:hAnsi="Arial" w:cs="Arial"/>
        </w:rPr>
      </w:pPr>
    </w:p>
    <w:p w14:paraId="1A4F41BD" w14:textId="433E8081" w:rsidR="007F1BA0" w:rsidRPr="007F1BA0" w:rsidRDefault="007F1BA0" w:rsidP="007F1BA0">
      <w:pPr>
        <w:spacing w:line="360" w:lineRule="auto"/>
        <w:jc w:val="both"/>
        <w:rPr>
          <w:rFonts w:ascii="Arial" w:hAnsi="Arial" w:cs="Arial"/>
        </w:rPr>
      </w:pPr>
      <w:r w:rsidRPr="007F1BA0">
        <w:rPr>
          <w:rFonts w:ascii="Arial" w:hAnsi="Arial" w:cs="Arial"/>
          <w:b/>
          <w:bCs/>
        </w:rPr>
        <w:t>Keywords</w:t>
      </w:r>
      <w:r>
        <w:rPr>
          <w:rFonts w:ascii="Arial" w:hAnsi="Arial" w:cs="Arial"/>
        </w:rPr>
        <w:t xml:space="preserve">: CAR T cell, </w:t>
      </w:r>
      <w:proofErr w:type="spellStart"/>
      <w:r>
        <w:rPr>
          <w:rFonts w:ascii="Arial" w:hAnsi="Arial" w:cs="Arial"/>
        </w:rPr>
        <w:t>Venetoclax</w:t>
      </w:r>
      <w:proofErr w:type="spellEnd"/>
      <w:r>
        <w:rPr>
          <w:rFonts w:ascii="Arial" w:hAnsi="Arial" w:cs="Arial"/>
        </w:rPr>
        <w:t>, Bcl-2 alterations, DLBCL</w:t>
      </w:r>
    </w:p>
    <w:p w14:paraId="344BCA89" w14:textId="77777777" w:rsidR="007F1BA0" w:rsidRPr="007F1BA0" w:rsidRDefault="007F1BA0" w:rsidP="007F1BA0">
      <w:pPr>
        <w:spacing w:line="360" w:lineRule="auto"/>
        <w:jc w:val="both"/>
        <w:rPr>
          <w:rFonts w:ascii="Arial" w:hAnsi="Arial" w:cs="Arial"/>
        </w:rPr>
      </w:pPr>
    </w:p>
    <w:p w14:paraId="702EC51F" w14:textId="77777777" w:rsidR="00DF413B" w:rsidRPr="007F1BA0" w:rsidRDefault="00DF413B"/>
    <w:sectPr w:rsidR="00DF413B" w:rsidRPr="007F1BA0" w:rsidSect="008B16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KyNDAwNDe0NDU2MTNU0lEKTi0uzszPAykwrAUALEn84ywAAAA="/>
  </w:docVars>
  <w:rsids>
    <w:rsidRoot w:val="007F1BA0"/>
    <w:rsid w:val="0001497D"/>
    <w:rsid w:val="00037FEE"/>
    <w:rsid w:val="00057273"/>
    <w:rsid w:val="000B1C1F"/>
    <w:rsid w:val="000D0EFE"/>
    <w:rsid w:val="000E034D"/>
    <w:rsid w:val="00197AF2"/>
    <w:rsid w:val="001C1BE3"/>
    <w:rsid w:val="00264D92"/>
    <w:rsid w:val="002873A3"/>
    <w:rsid w:val="002C021E"/>
    <w:rsid w:val="00300E54"/>
    <w:rsid w:val="00312454"/>
    <w:rsid w:val="003432B0"/>
    <w:rsid w:val="00356314"/>
    <w:rsid w:val="00416050"/>
    <w:rsid w:val="00431F9E"/>
    <w:rsid w:val="004835CD"/>
    <w:rsid w:val="00500453"/>
    <w:rsid w:val="00580069"/>
    <w:rsid w:val="0059754F"/>
    <w:rsid w:val="005E5637"/>
    <w:rsid w:val="00654299"/>
    <w:rsid w:val="006A1A2F"/>
    <w:rsid w:val="006A4A3A"/>
    <w:rsid w:val="00724B05"/>
    <w:rsid w:val="00736DB3"/>
    <w:rsid w:val="00775CBC"/>
    <w:rsid w:val="0078313B"/>
    <w:rsid w:val="007E7D90"/>
    <w:rsid w:val="007F1BA0"/>
    <w:rsid w:val="007F3E49"/>
    <w:rsid w:val="008238C1"/>
    <w:rsid w:val="008630ED"/>
    <w:rsid w:val="008B165D"/>
    <w:rsid w:val="008B1FDC"/>
    <w:rsid w:val="008C47D7"/>
    <w:rsid w:val="008E36A0"/>
    <w:rsid w:val="008E4104"/>
    <w:rsid w:val="00900021"/>
    <w:rsid w:val="00921146"/>
    <w:rsid w:val="009D7292"/>
    <w:rsid w:val="00A23059"/>
    <w:rsid w:val="00A30680"/>
    <w:rsid w:val="00A40466"/>
    <w:rsid w:val="00A70A7C"/>
    <w:rsid w:val="00A82815"/>
    <w:rsid w:val="00AF2FE0"/>
    <w:rsid w:val="00B539A1"/>
    <w:rsid w:val="00B712DE"/>
    <w:rsid w:val="00B74178"/>
    <w:rsid w:val="00B755E4"/>
    <w:rsid w:val="00BC5ABC"/>
    <w:rsid w:val="00BC7BD0"/>
    <w:rsid w:val="00BE4903"/>
    <w:rsid w:val="00BF52A5"/>
    <w:rsid w:val="00C12123"/>
    <w:rsid w:val="00C44CCB"/>
    <w:rsid w:val="00C6105A"/>
    <w:rsid w:val="00C630F1"/>
    <w:rsid w:val="00C81205"/>
    <w:rsid w:val="00C83ED5"/>
    <w:rsid w:val="00CC7944"/>
    <w:rsid w:val="00CD1D18"/>
    <w:rsid w:val="00D22538"/>
    <w:rsid w:val="00D71BD0"/>
    <w:rsid w:val="00DA6C28"/>
    <w:rsid w:val="00DD2081"/>
    <w:rsid w:val="00DF413B"/>
    <w:rsid w:val="00E60673"/>
    <w:rsid w:val="00E76643"/>
    <w:rsid w:val="00E91CE2"/>
    <w:rsid w:val="00EB52AD"/>
    <w:rsid w:val="00EB55A2"/>
    <w:rsid w:val="00EB5FCB"/>
    <w:rsid w:val="00EE6E31"/>
    <w:rsid w:val="00F76D87"/>
    <w:rsid w:val="00FA625C"/>
    <w:rsid w:val="00FA75DB"/>
    <w:rsid w:val="00FF2E88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F5588"/>
  <w15:chartTrackingRefBased/>
  <w15:docId w15:val="{C404C1F7-491E-AA47-88CE-3ED058B4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B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Yong Gu</dc:creator>
  <cp:keywords/>
  <dc:description/>
  <cp:lastModifiedBy>Yong Gu Lee</cp:lastModifiedBy>
  <cp:revision>3</cp:revision>
  <dcterms:created xsi:type="dcterms:W3CDTF">2024-05-21T05:35:00Z</dcterms:created>
  <dcterms:modified xsi:type="dcterms:W3CDTF">2024-05-21T05:38:00Z</dcterms:modified>
</cp:coreProperties>
</file>