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4B" w:rsidRPr="0092704B" w:rsidRDefault="0092704B" w:rsidP="0092704B">
      <w:pPr>
        <w:spacing w:before="100" w:beforeAutospacing="1" w:after="100" w:afterAutospacing="1"/>
        <w:jc w:val="center"/>
        <w:outlineLvl w:val="2"/>
        <w:rPr>
          <w:rFonts w:ascii="Times New Roman" w:eastAsia="맑은 고딕" w:hAnsi="Times New Roman"/>
          <w:b/>
          <w:bCs/>
          <w:color w:val="000000"/>
          <w:kern w:val="24"/>
          <w:sz w:val="24"/>
          <w:szCs w:val="24"/>
          <w:lang w:eastAsia="ko-KR"/>
        </w:rPr>
      </w:pPr>
      <w:bookmarkStart w:id="0" w:name="_GoBack"/>
      <w:bookmarkEnd w:id="0"/>
      <w:r w:rsidRPr="00693588">
        <w:rPr>
          <w:rFonts w:ascii="Times New Roman" w:hAnsi="Times New Roman"/>
          <w:b/>
          <w:sz w:val="24"/>
          <w:szCs w:val="24"/>
        </w:rPr>
        <w:t xml:space="preserve">Neuronal deletion of ghrelin receptor </w:t>
      </w:r>
      <w:r>
        <w:rPr>
          <w:rFonts w:ascii="Times New Roman" w:hAnsi="Times New Roman"/>
          <w:b/>
          <w:sz w:val="24"/>
          <w:szCs w:val="24"/>
        </w:rPr>
        <w:t xml:space="preserve">almost </w:t>
      </w:r>
      <w:r w:rsidRPr="00693588">
        <w:rPr>
          <w:rFonts w:ascii="Times New Roman" w:hAnsi="Times New Roman"/>
          <w:b/>
          <w:sz w:val="24"/>
          <w:szCs w:val="24"/>
        </w:rPr>
        <w:t>completely prevents diet-induced obesity</w:t>
      </w:r>
    </w:p>
    <w:p w:rsidR="00370739" w:rsidRPr="005969E8" w:rsidRDefault="00370739" w:rsidP="00370739">
      <w:pPr>
        <w:spacing w:before="100" w:beforeAutospacing="1" w:after="100" w:afterAutospacing="1"/>
        <w:jc w:val="center"/>
        <w:outlineLvl w:val="2"/>
        <w:rPr>
          <w:rFonts w:ascii="Times New Roman" w:eastAsia="SimSun" w:hAnsi="Times New Roman"/>
          <w:color w:val="000000"/>
          <w:sz w:val="24"/>
          <w:szCs w:val="24"/>
        </w:rPr>
      </w:pPr>
      <w:r w:rsidRPr="005969E8">
        <w:rPr>
          <w:rFonts w:ascii="Times New Roman" w:eastAsia="SimSun" w:hAnsi="Times New Roman"/>
          <w:color w:val="000000"/>
          <w:sz w:val="24"/>
          <w:szCs w:val="24"/>
        </w:rPr>
        <w:t>Jong Han Lee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proofErr w:type="spellStart"/>
      <w:r w:rsidRPr="005969E8">
        <w:rPr>
          <w:rFonts w:ascii="Times New Roman" w:hAnsi="Times New Roman"/>
          <w:sz w:val="24"/>
          <w:szCs w:val="24"/>
        </w:rPr>
        <w:t>Ligen</w:t>
      </w:r>
      <w:proofErr w:type="spellEnd"/>
      <w:r w:rsidRPr="005969E8">
        <w:rPr>
          <w:rFonts w:ascii="Times New Roman" w:hAnsi="Times New Roman"/>
          <w:sz w:val="24"/>
          <w:szCs w:val="24"/>
        </w:rPr>
        <w:t xml:space="preserve"> Lin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1,2</w:t>
      </w:r>
      <w:r w:rsidRPr="005969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9E8">
        <w:rPr>
          <w:rFonts w:ascii="Times New Roman" w:hAnsi="Times New Roman"/>
          <w:sz w:val="24"/>
          <w:szCs w:val="24"/>
        </w:rPr>
        <w:t>Pingwen</w:t>
      </w:r>
      <w:proofErr w:type="spellEnd"/>
      <w:r w:rsidRPr="005969E8">
        <w:rPr>
          <w:rFonts w:ascii="Times New Roman" w:hAnsi="Times New Roman"/>
          <w:sz w:val="24"/>
          <w:szCs w:val="24"/>
        </w:rPr>
        <w:t xml:space="preserve"> Xu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hAnsi="Times New Roman"/>
          <w:sz w:val="24"/>
          <w:szCs w:val="24"/>
        </w:rPr>
        <w:t>, Kenji Saito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9E8">
        <w:rPr>
          <w:rFonts w:ascii="Times New Roman" w:eastAsia="SimSun" w:hAnsi="Times New Roman"/>
          <w:color w:val="000000"/>
          <w:sz w:val="24"/>
          <w:szCs w:val="24"/>
        </w:rPr>
        <w:t>Qiong</w:t>
      </w:r>
      <w:proofErr w:type="spellEnd"/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 Wei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1,3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proofErr w:type="spellStart"/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>Adelina</w:t>
      </w:r>
      <w:proofErr w:type="spellEnd"/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 xml:space="preserve"> G. Meadows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>,</w:t>
      </w:r>
      <w:r w:rsidRPr="005969E8">
        <w:rPr>
          <w:rFonts w:ascii="Times New Roman" w:eastAsia="SimSun" w:hAnsi="Times New Roman"/>
          <w:bCs/>
          <w:color w:val="1F497D"/>
          <w:sz w:val="24"/>
          <w:szCs w:val="24"/>
        </w:rPr>
        <w:t xml:space="preserve"> </w:t>
      </w:r>
      <w:proofErr w:type="spellStart"/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>Odelia</w:t>
      </w:r>
      <w:proofErr w:type="spellEnd"/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 xml:space="preserve"> Y. N. Bongmba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eastAsia="SimSu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5969E8">
        <w:rPr>
          <w:rFonts w:ascii="Times New Roman" w:hAnsi="Times New Roman"/>
          <w:color w:val="000000"/>
          <w:sz w:val="24"/>
          <w:szCs w:val="24"/>
        </w:rPr>
        <w:t>Geetali</w:t>
      </w:r>
      <w:proofErr w:type="spellEnd"/>
      <w:r w:rsidRPr="005969E8">
        <w:rPr>
          <w:rFonts w:ascii="Times New Roman" w:hAnsi="Times New Roman"/>
          <w:color w:val="000000"/>
          <w:sz w:val="24"/>
          <w:szCs w:val="24"/>
        </w:rPr>
        <w:t xml:space="preserve"> Pradhan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969E8">
        <w:rPr>
          <w:rFonts w:ascii="Times New Roman" w:eastAsia="SimSun" w:hAnsi="Times New Roman"/>
          <w:color w:val="000000"/>
          <w:sz w:val="24"/>
          <w:szCs w:val="24"/>
        </w:rPr>
        <w:t>Hui</w:t>
      </w:r>
      <w:proofErr w:type="spellEnd"/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 Zheng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>, Yong Xu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, &amp; </w:t>
      </w:r>
      <w:proofErr w:type="spellStart"/>
      <w:r w:rsidRPr="005969E8">
        <w:rPr>
          <w:rFonts w:ascii="Times New Roman" w:eastAsia="SimSun" w:hAnsi="Times New Roman"/>
          <w:color w:val="000000"/>
          <w:sz w:val="24"/>
          <w:szCs w:val="24"/>
        </w:rPr>
        <w:t>Yuxiang</w:t>
      </w:r>
      <w:proofErr w:type="spellEnd"/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 Sun</w:t>
      </w:r>
      <w:r w:rsidRPr="005969E8">
        <w:rPr>
          <w:rFonts w:ascii="Times New Roman" w:eastAsia="SimSun" w:hAnsi="Times New Roman"/>
          <w:color w:val="000000"/>
          <w:sz w:val="24"/>
          <w:szCs w:val="24"/>
          <w:vertAlign w:val="superscript"/>
        </w:rPr>
        <w:t>1, 4, 5*</w:t>
      </w:r>
    </w:p>
    <w:p w:rsidR="00370739" w:rsidRPr="005969E8" w:rsidRDefault="00370739" w:rsidP="00370739">
      <w:pPr>
        <w:jc w:val="center"/>
        <w:rPr>
          <w:rFonts w:ascii="Times New Roman" w:eastAsia="SimSun" w:hAnsi="Times New Roman"/>
          <w:color w:val="000000"/>
          <w:sz w:val="24"/>
          <w:szCs w:val="24"/>
        </w:rPr>
      </w:pP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USDA/ARS Children’s Nutrition Research Center, Department of Pediatrics, Baylor College of Medicine, Houston, TX, USA; </w:t>
      </w:r>
      <w:r w:rsidRPr="005969E8">
        <w:rPr>
          <w:rFonts w:ascii="Times New Roman" w:hAnsi="Times New Roman"/>
          <w:sz w:val="24"/>
          <w:szCs w:val="24"/>
          <w:vertAlign w:val="superscript"/>
        </w:rPr>
        <w:t>2</w:t>
      </w:r>
      <w:r w:rsidRPr="005969E8">
        <w:rPr>
          <w:rFonts w:ascii="Times New Roman" w:hAnsi="Times New Roman"/>
          <w:sz w:val="24"/>
          <w:szCs w:val="24"/>
        </w:rPr>
        <w:t>State Key Laboratory of Quality Research in Chinese Medicine, Institute of Chinese Medical Sciences, University of Macau, Macau, China;</w:t>
      </w:r>
      <w:r w:rsidRPr="005969E8">
        <w:rPr>
          <w:rFonts w:ascii="Times New Roman" w:eastAsia="SimSun" w:hAnsi="Times New Roman"/>
          <w:sz w:val="24"/>
          <w:szCs w:val="24"/>
        </w:rPr>
        <w:t xml:space="preserve"> 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5969E8">
        <w:rPr>
          <w:rFonts w:ascii="Times New Roman" w:hAnsi="Times New Roman"/>
          <w:color w:val="000000"/>
          <w:sz w:val="24"/>
          <w:szCs w:val="24"/>
        </w:rPr>
        <w:t xml:space="preserve">Division of Endocrinology, </w:t>
      </w:r>
      <w:proofErr w:type="spellStart"/>
      <w:r w:rsidRPr="005969E8">
        <w:rPr>
          <w:rFonts w:ascii="Times New Roman" w:hAnsi="Times New Roman"/>
          <w:sz w:val="24"/>
          <w:szCs w:val="24"/>
        </w:rPr>
        <w:t>Zhongda</w:t>
      </w:r>
      <w:proofErr w:type="spellEnd"/>
      <w:r w:rsidRPr="005969E8">
        <w:rPr>
          <w:rFonts w:ascii="Times New Roman" w:hAnsi="Times New Roman"/>
          <w:sz w:val="24"/>
          <w:szCs w:val="24"/>
        </w:rPr>
        <w:t xml:space="preserve"> Hospital, Southeast University, Nanjing, Jiangsu, China. 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5969E8">
        <w:rPr>
          <w:rFonts w:ascii="Times New Roman" w:hAnsi="Times New Roman"/>
          <w:color w:val="000000"/>
          <w:sz w:val="24"/>
          <w:szCs w:val="24"/>
        </w:rPr>
        <w:t>Huffington Center on Aging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 xml:space="preserve">, Baylor College of Medicine, Houston, TX, USA; </w:t>
      </w:r>
      <w:r w:rsidRPr="005969E8"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 w:rsidRPr="005969E8">
        <w:rPr>
          <w:rFonts w:ascii="Times New Roman" w:eastAsia="SimSun" w:hAnsi="Times New Roman"/>
          <w:color w:val="000000"/>
          <w:sz w:val="24"/>
          <w:szCs w:val="24"/>
        </w:rPr>
        <w:t>Department of Molecular and Cellular Biology, Baylor College of Medicine, Houston, TX, USA.</w:t>
      </w:r>
    </w:p>
    <w:p w:rsidR="0092704B" w:rsidRDefault="0092704B" w:rsidP="00691D4D">
      <w:pPr>
        <w:spacing w:after="100" w:line="480" w:lineRule="auto"/>
        <w:rPr>
          <w:rFonts w:ascii="Times New Roman" w:hAnsi="Times New Roman"/>
          <w:b/>
          <w:sz w:val="24"/>
          <w:szCs w:val="24"/>
        </w:rPr>
      </w:pPr>
    </w:p>
    <w:p w:rsidR="005E60A0" w:rsidRDefault="00691D4D" w:rsidP="0092704B">
      <w:pPr>
        <w:spacing w:after="100" w:line="480" w:lineRule="auto"/>
        <w:jc w:val="both"/>
      </w:pPr>
      <w:r>
        <w:rPr>
          <w:rStyle w:val="jrnl"/>
          <w:rFonts w:ascii="Times New Roman" w:hAnsi="Times New Roman"/>
          <w:color w:val="000000"/>
          <w:sz w:val="24"/>
          <w:szCs w:val="24"/>
        </w:rPr>
        <w:t xml:space="preserve">       G</w:t>
      </w:r>
      <w:r w:rsidRPr="005969E8">
        <w:rPr>
          <w:rStyle w:val="jrnl"/>
          <w:rFonts w:ascii="Times New Roman" w:hAnsi="Times New Roman"/>
          <w:color w:val="000000"/>
          <w:sz w:val="24"/>
          <w:szCs w:val="24"/>
        </w:rPr>
        <w:t>hrelin</w:t>
      </w:r>
      <w:r>
        <w:rPr>
          <w:rStyle w:val="jrnl"/>
          <w:rFonts w:ascii="Times New Roman" w:hAnsi="Times New Roman"/>
          <w:color w:val="000000"/>
          <w:sz w:val="24"/>
          <w:szCs w:val="24"/>
        </w:rPr>
        <w:t xml:space="preserve"> signaling plays import roles in </w:t>
      </w:r>
      <w:r>
        <w:rPr>
          <w:rFonts w:ascii="Times New Roman" w:hAnsi="Times New Roman"/>
          <w:sz w:val="24"/>
          <w:szCs w:val="24"/>
        </w:rPr>
        <w:t xml:space="preserve">energy- and glucose-homeostasis, but it is unknown whether these functions are centrally and/or peripherally regulated. Ghrelin receptor, </w:t>
      </w:r>
      <w:r>
        <w:rPr>
          <w:rFonts w:ascii="Times New Roman" w:hAnsi="Times New Roman"/>
          <w:i/>
          <w:sz w:val="24"/>
          <w:szCs w:val="24"/>
        </w:rPr>
        <w:t xml:space="preserve">aka </w:t>
      </w:r>
      <w:r w:rsidRPr="005969E8">
        <w:rPr>
          <w:rFonts w:ascii="Times New Roman" w:eastAsia="SimSun" w:hAnsi="Times New Roman"/>
          <w:sz w:val="24"/>
          <w:szCs w:val="24"/>
        </w:rPr>
        <w:t xml:space="preserve">Growth Hormone </w:t>
      </w:r>
      <w:proofErr w:type="spellStart"/>
      <w:r w:rsidRPr="005969E8">
        <w:rPr>
          <w:rFonts w:ascii="Times New Roman" w:eastAsia="SimSun" w:hAnsi="Times New Roman"/>
          <w:sz w:val="24"/>
          <w:szCs w:val="24"/>
        </w:rPr>
        <w:t>Secretagogue</w:t>
      </w:r>
      <w:proofErr w:type="spellEnd"/>
      <w:r w:rsidRPr="005969E8">
        <w:rPr>
          <w:rFonts w:ascii="Times New Roman" w:eastAsia="SimSun" w:hAnsi="Times New Roman"/>
          <w:sz w:val="24"/>
          <w:szCs w:val="24"/>
        </w:rPr>
        <w:t xml:space="preserve"> Receptor (GHS-R)</w:t>
      </w:r>
      <w:r>
        <w:rPr>
          <w:rFonts w:ascii="Times New Roman" w:eastAsia="SimSun" w:hAnsi="Times New Roman"/>
          <w:sz w:val="24"/>
          <w:szCs w:val="24"/>
        </w:rPr>
        <w:t>,</w:t>
      </w:r>
      <w:r w:rsidRPr="00DE1FA0">
        <w:rPr>
          <w:rFonts w:ascii="Times New Roman" w:eastAsia="SimSun" w:hAnsi="Times New Roman"/>
          <w:sz w:val="24"/>
          <w:szCs w:val="24"/>
        </w:rPr>
        <w:t xml:space="preserve"> </w:t>
      </w:r>
      <w:r w:rsidRPr="005969E8">
        <w:rPr>
          <w:rFonts w:ascii="Times New Roman" w:eastAsia="SimSun" w:hAnsi="Times New Roman"/>
          <w:sz w:val="24"/>
          <w:szCs w:val="24"/>
        </w:rPr>
        <w:t xml:space="preserve">is </w:t>
      </w:r>
      <w:r w:rsidRPr="005969E8">
        <w:rPr>
          <w:rFonts w:ascii="Times New Roman" w:hAnsi="Times New Roman"/>
          <w:sz w:val="24"/>
          <w:szCs w:val="24"/>
        </w:rPr>
        <w:t xml:space="preserve">highly </w:t>
      </w:r>
      <w:r>
        <w:rPr>
          <w:rFonts w:ascii="Times New Roman" w:hAnsi="Times New Roman"/>
          <w:sz w:val="24"/>
          <w:szCs w:val="24"/>
        </w:rPr>
        <w:t xml:space="preserve">expressed in the brain but also detectable in some peripheral tissues. </w:t>
      </w:r>
      <w:r w:rsidRPr="005969E8">
        <w:rPr>
          <w:rFonts w:ascii="Times New Roman" w:hAnsi="Times New Roman"/>
          <w:sz w:val="24"/>
          <w:szCs w:val="24"/>
        </w:rPr>
        <w:t>Here, we show that</w:t>
      </w:r>
      <w:r>
        <w:rPr>
          <w:rFonts w:ascii="Times New Roman" w:hAnsi="Times New Roman"/>
          <w:sz w:val="24"/>
          <w:szCs w:val="24"/>
        </w:rPr>
        <w:t xml:space="preserve"> while n</w:t>
      </w:r>
      <w:r w:rsidRPr="005969E8">
        <w:rPr>
          <w:rFonts w:ascii="Times New Roman" w:hAnsi="Times New Roman"/>
          <w:sz w:val="24"/>
          <w:szCs w:val="24"/>
        </w:rPr>
        <w:t>eural GHS-R deletion</w:t>
      </w:r>
      <w:r>
        <w:rPr>
          <w:rFonts w:ascii="Times New Roman" w:hAnsi="Times New Roman"/>
          <w:sz w:val="24"/>
          <w:szCs w:val="24"/>
        </w:rPr>
        <w:t xml:space="preserve"> abolishes ghrelin-induced spontaneous food intake, it has no effect on long-term total energy intake. Remarkably, we found that n</w:t>
      </w:r>
      <w:r w:rsidRPr="005969E8">
        <w:rPr>
          <w:rFonts w:ascii="Times New Roman" w:hAnsi="Times New Roman"/>
          <w:sz w:val="24"/>
          <w:szCs w:val="24"/>
        </w:rPr>
        <w:t>eural GHS-R deletion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9E8">
        <w:rPr>
          <w:rFonts w:ascii="Times New Roman" w:hAnsi="Times New Roman"/>
          <w:sz w:val="24"/>
          <w:szCs w:val="24"/>
        </w:rPr>
        <w:t>prevents diet-induced obesity</w:t>
      </w:r>
      <w:r>
        <w:rPr>
          <w:rFonts w:ascii="Times New Roman" w:hAnsi="Times New Roman"/>
          <w:sz w:val="24"/>
          <w:szCs w:val="24"/>
        </w:rPr>
        <w:t xml:space="preserve"> (DIO), and exhibits significantly improved insulin sensitivity and metabolic flexibility. Moreover, our studies revealed that the improved metabolic phenotype of these mice was due to increased </w:t>
      </w:r>
      <w:r w:rsidRPr="005969E8">
        <w:rPr>
          <w:rFonts w:ascii="Times New Roman" w:hAnsi="Times New Roman"/>
          <w:sz w:val="24"/>
          <w:szCs w:val="24"/>
        </w:rPr>
        <w:t>energy expenditure</w:t>
      </w:r>
      <w:r>
        <w:rPr>
          <w:rFonts w:ascii="Times New Roman" w:hAnsi="Times New Roman"/>
          <w:sz w:val="24"/>
          <w:szCs w:val="24"/>
        </w:rPr>
        <w:t xml:space="preserve">, achieved by </w:t>
      </w:r>
      <w:r w:rsidRPr="005969E8">
        <w:rPr>
          <w:rFonts w:ascii="Times New Roman" w:hAnsi="Times New Roman"/>
          <w:sz w:val="24"/>
          <w:szCs w:val="24"/>
        </w:rPr>
        <w:t xml:space="preserve">activating </w:t>
      </w:r>
      <w:r>
        <w:rPr>
          <w:rFonts w:ascii="Times New Roman" w:hAnsi="Times New Roman"/>
          <w:sz w:val="24"/>
          <w:szCs w:val="24"/>
        </w:rPr>
        <w:t>non-shivering thermogenesis</w:t>
      </w:r>
      <w:r w:rsidRPr="001433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enhancing </w:t>
      </w:r>
      <w:r w:rsidRPr="005969E8">
        <w:rPr>
          <w:rFonts w:ascii="Times New Roman" w:hAnsi="Times New Roman"/>
          <w:sz w:val="24"/>
          <w:szCs w:val="24"/>
        </w:rPr>
        <w:t>physical activity.</w:t>
      </w:r>
      <w:r>
        <w:rPr>
          <w:rFonts w:ascii="Times New Roman" w:hAnsi="Times New Roman"/>
          <w:sz w:val="24"/>
          <w:szCs w:val="24"/>
        </w:rPr>
        <w:t xml:space="preserve"> Our gene expression profile further suggests that neurons in hypothalamus and/or midbrain might be the sites that mediate the beneficial effects of GHS-R deficiency. </w:t>
      </w:r>
      <w:r>
        <w:rPr>
          <w:rFonts w:ascii="Times New Roman" w:hAnsi="Times New Roman"/>
          <w:color w:val="000000"/>
          <w:sz w:val="24"/>
          <w:szCs w:val="24"/>
        </w:rPr>
        <w:t>Collectively</w:t>
      </w:r>
      <w:r w:rsidR="0092704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our results indicate that </w:t>
      </w:r>
      <w:r>
        <w:rPr>
          <w:rFonts w:ascii="Times New Roman" w:hAnsi="Times New Roman"/>
          <w:color w:val="000000"/>
          <w:sz w:val="24"/>
          <w:szCs w:val="24"/>
          <w:lang w:eastAsia="ko-KR"/>
        </w:rPr>
        <w:t>neuronal GHS-R</w:t>
      </w:r>
      <w:r w:rsidDel="00010FA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ko-KR"/>
        </w:rPr>
        <w:t xml:space="preserve">is a crucial regulator of </w:t>
      </w:r>
      <w:r>
        <w:rPr>
          <w:rFonts w:ascii="Times New Roman" w:hAnsi="Times New Roman"/>
          <w:color w:val="000000"/>
          <w:sz w:val="24"/>
          <w:szCs w:val="24"/>
        </w:rPr>
        <w:t>energy metabolism</w:t>
      </w:r>
      <w:r>
        <w:rPr>
          <w:rFonts w:ascii="Times New Roman" w:hAnsi="Times New Roman"/>
          <w:color w:val="000000"/>
          <w:sz w:val="24"/>
          <w:szCs w:val="24"/>
          <w:lang w:eastAsia="ko-KR"/>
        </w:rPr>
        <w:t xml:space="preserve"> and a key pathogenic mediator of DIO</w:t>
      </w:r>
      <w:r w:rsidRPr="006D4AA8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B35075">
        <w:rPr>
          <w:rFonts w:ascii="Times New Roman" w:hAnsi="Times New Roman"/>
          <w:i/>
          <w:sz w:val="24"/>
          <w:szCs w:val="24"/>
        </w:rPr>
        <w:t>Ghsr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deletion protects against DIO by regulating </w:t>
      </w:r>
      <w:r>
        <w:rPr>
          <w:rFonts w:ascii="Times New Roman" w:hAnsi="Times New Roman"/>
          <w:color w:val="000000"/>
          <w:sz w:val="24"/>
          <w:szCs w:val="24"/>
          <w:lang w:eastAsia="ko-KR"/>
        </w:rPr>
        <w:t>energy expenditure, not energy intake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6D4AA8">
        <w:rPr>
          <w:rFonts w:ascii="Times New Roman" w:hAnsi="Times New Roman"/>
          <w:sz w:val="24"/>
          <w:szCs w:val="24"/>
          <w:lang w:eastAsia="ko-KR"/>
        </w:rPr>
        <w:t xml:space="preserve"> The</w:t>
      </w:r>
      <w:r>
        <w:rPr>
          <w:rFonts w:ascii="Times New Roman" w:hAnsi="Times New Roman"/>
          <w:sz w:val="24"/>
          <w:szCs w:val="24"/>
          <w:lang w:eastAsia="ko-KR"/>
        </w:rPr>
        <w:t>se</w:t>
      </w:r>
      <w:r w:rsidRPr="006D4AA8">
        <w:rPr>
          <w:rFonts w:ascii="Times New Roman" w:hAnsi="Times New Roman"/>
          <w:sz w:val="24"/>
          <w:szCs w:val="24"/>
          <w:lang w:eastAsia="ko-KR"/>
        </w:rPr>
        <w:t xml:space="preserve"> novel </w:t>
      </w:r>
      <w:r>
        <w:rPr>
          <w:rFonts w:ascii="Times New Roman" w:hAnsi="Times New Roman"/>
          <w:color w:val="000000"/>
          <w:sz w:val="24"/>
          <w:szCs w:val="24"/>
        </w:rPr>
        <w:t>findings</w:t>
      </w:r>
      <w:r w:rsidRPr="006D4AA8">
        <w:rPr>
          <w:rFonts w:ascii="Times New Roman" w:hAnsi="Times New Roman"/>
          <w:color w:val="000000"/>
          <w:sz w:val="24"/>
          <w:szCs w:val="24"/>
        </w:rPr>
        <w:t xml:space="preserve"> suggest that suppressing central ghrelin signaling may serve as 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AA8">
        <w:rPr>
          <w:rFonts w:ascii="Times New Roman" w:hAnsi="Times New Roman"/>
          <w:color w:val="000000"/>
          <w:sz w:val="24"/>
          <w:szCs w:val="24"/>
        </w:rPr>
        <w:t xml:space="preserve">unique </w:t>
      </w:r>
      <w:r w:rsidRPr="006D4AA8">
        <w:rPr>
          <w:rFonts w:ascii="Times New Roman" w:hAnsi="Times New Roman"/>
          <w:color w:val="000000"/>
          <w:sz w:val="24"/>
          <w:szCs w:val="24"/>
          <w:lang w:eastAsia="ko-KR"/>
        </w:rPr>
        <w:t xml:space="preserve">anti-obesity </w:t>
      </w:r>
      <w:r w:rsidRPr="006D4AA8">
        <w:rPr>
          <w:rFonts w:ascii="Times New Roman" w:hAnsi="Times New Roman"/>
          <w:color w:val="000000"/>
          <w:sz w:val="24"/>
          <w:szCs w:val="24"/>
        </w:rPr>
        <w:t>strategy</w:t>
      </w:r>
      <w:r>
        <w:rPr>
          <w:rFonts w:ascii="Times New Roman" w:hAnsi="Times New Roman"/>
          <w:color w:val="000000"/>
          <w:sz w:val="24"/>
          <w:szCs w:val="24"/>
        </w:rPr>
        <w:t xml:space="preserve"> that prevents weight gain without dieting.</w:t>
      </w:r>
    </w:p>
    <w:sectPr w:rsidR="005E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4D"/>
    <w:rsid w:val="00370739"/>
    <w:rsid w:val="005E60A0"/>
    <w:rsid w:val="00691D4D"/>
    <w:rsid w:val="008A5373"/>
    <w:rsid w:val="0092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D4D"/>
    <w:pPr>
      <w:spacing w:after="200" w:line="276" w:lineRule="auto"/>
    </w:pPr>
    <w:rPr>
      <w:rFonts w:ascii="Calibri" w:eastAsia="바탕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rnl">
    <w:name w:val="jrnl"/>
    <w:uiPriority w:val="99"/>
    <w:rsid w:val="00691D4D"/>
    <w:rPr>
      <w:rFonts w:cs="Times New Roman"/>
    </w:rPr>
  </w:style>
  <w:style w:type="character" w:styleId="a3">
    <w:name w:val="annotation reference"/>
    <w:basedOn w:val="a0"/>
    <w:uiPriority w:val="99"/>
    <w:semiHidden/>
    <w:unhideWhenUsed/>
    <w:rsid w:val="00691D4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91D4D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691D4D"/>
    <w:rPr>
      <w:rFonts w:ascii="Calibri" w:eastAsia="바탕" w:hAnsi="Calibri" w:cs="Times New Roman"/>
      <w:sz w:val="20"/>
      <w:szCs w:val="20"/>
      <w:lang w:eastAsia="zh-C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91D4D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691D4D"/>
    <w:rPr>
      <w:rFonts w:ascii="Calibri" w:eastAsia="바탕" w:hAnsi="Calibri" w:cs="Times New Roman"/>
      <w:b/>
      <w:bCs/>
      <w:sz w:val="20"/>
      <w:szCs w:val="20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69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91D4D"/>
    <w:rPr>
      <w:rFonts w:ascii="Segoe UI" w:eastAsia="바탕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D4D"/>
    <w:pPr>
      <w:spacing w:after="200" w:line="276" w:lineRule="auto"/>
    </w:pPr>
    <w:rPr>
      <w:rFonts w:ascii="Calibri" w:eastAsia="바탕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rnl">
    <w:name w:val="jrnl"/>
    <w:uiPriority w:val="99"/>
    <w:rsid w:val="00691D4D"/>
    <w:rPr>
      <w:rFonts w:cs="Times New Roman"/>
    </w:rPr>
  </w:style>
  <w:style w:type="character" w:styleId="a3">
    <w:name w:val="annotation reference"/>
    <w:basedOn w:val="a0"/>
    <w:uiPriority w:val="99"/>
    <w:semiHidden/>
    <w:unhideWhenUsed/>
    <w:rsid w:val="00691D4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91D4D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691D4D"/>
    <w:rPr>
      <w:rFonts w:ascii="Calibri" w:eastAsia="바탕" w:hAnsi="Calibri" w:cs="Times New Roman"/>
      <w:sz w:val="20"/>
      <w:szCs w:val="20"/>
      <w:lang w:eastAsia="zh-C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91D4D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691D4D"/>
    <w:rPr>
      <w:rFonts w:ascii="Calibri" w:eastAsia="바탕" w:hAnsi="Calibri" w:cs="Times New Roman"/>
      <w:b/>
      <w:bCs/>
      <w:sz w:val="20"/>
      <w:szCs w:val="20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69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91D4D"/>
    <w:rPr>
      <w:rFonts w:ascii="Segoe UI" w:eastAsia="바탕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 Han</dc:creator>
  <cp:lastModifiedBy>john</cp:lastModifiedBy>
  <cp:revision>2</cp:revision>
  <dcterms:created xsi:type="dcterms:W3CDTF">2016-08-13T02:41:00Z</dcterms:created>
  <dcterms:modified xsi:type="dcterms:W3CDTF">2016-08-13T02:41:00Z</dcterms:modified>
</cp:coreProperties>
</file>