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92F" w:rsidRDefault="00F76058">
      <w:r>
        <w:t>Mechanism of insulin receptor modulation with a new therapeutic perspective</w:t>
      </w:r>
    </w:p>
    <w:p w:rsidR="006E7886" w:rsidRDefault="006E7886" w:rsidP="006E7886">
      <w:r>
        <w:t>Sung Ho Ryu</w:t>
      </w:r>
    </w:p>
    <w:p w:rsidR="006E7886" w:rsidRDefault="006E7886" w:rsidP="006E7886">
      <w:r>
        <w:t>Dept. Life Sciences, Pohang University of Science and Technology</w:t>
      </w:r>
    </w:p>
    <w:p w:rsidR="006E7886" w:rsidRDefault="006E7886" w:rsidP="006E7886">
      <w:r>
        <w:t xml:space="preserve">Aptamers are single-stranded oligonucleotides that can specifically bind to a wide range of target molecules with high affinity and specificity. Aptamer binding is based on the ability of small oligonucleotides to fold into unique three-dimensional structures that can interact with a specific binding region of the target molecule. Aptamers against any target of interest, from small chemical compounds to complex proteins or even cells, can be isolated from combinatorial libraries through an in vitro selection method known as systematic evolution of ligands by exponential enrichment (SELEX). Many properties of aptamers are comparable to those of antibodies. However, aptamers provide significant advantages over antibodies, including small size, stability, and lack of immunogenicity. Furthermore, aptamers can be synthesized chemically, thus enabling convenient chemical modification for conjugation with various probes. </w:t>
      </w:r>
    </w:p>
    <w:p w:rsidR="006E7886" w:rsidRDefault="006E7886" w:rsidP="006E7886">
      <w:r>
        <w:t>A goal of our research is to develop aptamer modulators which control the insulin receptor (IR) based on conformational change by aptamer-protein interaction. IR modulation is considered a valuable modality for diabetes care. To date, a variety of insulin analogs that have modified amino acid sequences have been successfully used in diabetes patients for normal glycemic control. However, insulin treatment is also considered to promote cell proliferation, and the amino acid modifications of some insulin analogs increase their binding affinity and activation of IGF1-R. Accordingly, long-term use of insulin analogs for diabetes care has raised concerns regarding increased atherosclerosis and cancer risk. Furthermore, Insulin therapy commonly results in weight gain of diabetes patients, which also has negative effects on cardiovascular risk profile. Therefore, the development of new IR modulators that selectively induces glucose uptake without adverse effects has been required.</w:t>
      </w:r>
    </w:p>
    <w:p w:rsidR="006E7886" w:rsidRDefault="006E7886" w:rsidP="006E7886">
      <w:r>
        <w:t>To obtain aptamers binding to insulin IR, SELEX was performed using single-strand DNA libraries and purified recombinant IR protein that consists of the extracellular domain. As a result, total 75 kinds of IR aptamers were identified and we analyzed whether or not the aptamers increased AKT (S473) phosphorylation in HEK293 cells over-expressing human IR. Interestingly, we identified 15 kinds of IR aptamers (20%) as agonists which significantly increased AKT phosphorylation. In addition, 24 kinds of IR aptamers (32%) and 36 kinds of IR aptamers (48%) were non-functional binders and inhibitors, respectively. Furthermore, some aptamers have high selectivity to IR-isoform A and B which differ by the absence (IR-A) or the presence (IR-B) of 12 amino acids in the extracellular α subunit that are encoded by exon 11.</w:t>
      </w:r>
    </w:p>
    <w:p w:rsidR="006E7886" w:rsidRDefault="006E7886" w:rsidP="006E7886">
      <w:r>
        <w:t xml:space="preserve">Here, we present an agonistic IR aptamer, IR-A48, which binds to an allosteric site of the IR that is </w:t>
      </w:r>
      <w:r>
        <w:lastRenderedPageBreak/>
        <w:t>distinct from the insulin binding site. Despite its capacity to stimulate IR autophosphorylation, similar to insulin, IR-A48 preferentially induces Y1150 phosphorylation in the IR kinase domain. Moreover, Y1150-biased phosphorylation induced by IR-A48 selectively activates specific signaling pathways downstream of IR. In contrast to insulin-mediated activation of IR, IR-A48 binding has little effect on the MAPK pathway and proliferation of cancer cells. Instead, AKT S473 phosphorylation is highly stimulated by IR-A48, resulting in increased glucose uptake both in vitro and in vivo. Moreover, dose-efficacy of IR-A48 on lipolysis inhibition is clearly lower than insulin compared to the dose-efficacy on glucose uptake.  Our findings suggest that IR-A48 is a biased agonist able to specifically regulate the insulin signaling pathway (i.e., metabolic over mitogenic activity) through allosteric binding. IR-A48 raises the possibility of the use of a biased IR agonist to control blood glucose without the potential increase in atherosclerosis, cancer and weight gain. We believe that IR-A48 represents a novel strategy for allosterically facilitating insulin action and improving glycemic control in diabetes patients. (Yoon, et al, Nucleic Acid Res., 2015).</w:t>
      </w:r>
      <w:r>
        <w:t xml:space="preserve"> We also suggest a</w:t>
      </w:r>
      <w:r>
        <w:rPr>
          <w:rFonts w:hint="eastAsia"/>
        </w:rPr>
        <w:t xml:space="preserve"> new model for the IR activation by using series of IR mutants and modulators includi</w:t>
      </w:r>
      <w:r>
        <w:t>ng aptamers and peptides (Yoon, et al, Pharmacol. Therapeut., 2017).</w:t>
      </w:r>
      <w:bookmarkStart w:id="0" w:name="_GoBack"/>
      <w:bookmarkEnd w:id="0"/>
    </w:p>
    <w:sectPr w:rsidR="006E788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4E2" w:rsidRDefault="00D614E2" w:rsidP="006E7886">
      <w:pPr>
        <w:spacing w:after="0" w:line="240" w:lineRule="auto"/>
      </w:pPr>
      <w:r>
        <w:separator/>
      </w:r>
    </w:p>
  </w:endnote>
  <w:endnote w:type="continuationSeparator" w:id="0">
    <w:p w:rsidR="00D614E2" w:rsidRDefault="00D614E2" w:rsidP="006E7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4E2" w:rsidRDefault="00D614E2" w:rsidP="006E7886">
      <w:pPr>
        <w:spacing w:after="0" w:line="240" w:lineRule="auto"/>
      </w:pPr>
      <w:r>
        <w:separator/>
      </w:r>
    </w:p>
  </w:footnote>
  <w:footnote w:type="continuationSeparator" w:id="0">
    <w:p w:rsidR="00D614E2" w:rsidRDefault="00D614E2" w:rsidP="006E78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058"/>
    <w:rsid w:val="0061792F"/>
    <w:rsid w:val="006E7886"/>
    <w:rsid w:val="00D614E2"/>
    <w:rsid w:val="00F7605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9EFBE"/>
  <w15:chartTrackingRefBased/>
  <w15:docId w15:val="{5FC59DBC-D345-4315-9AC7-E81E061D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7886"/>
    <w:pPr>
      <w:tabs>
        <w:tab w:val="center" w:pos="4513"/>
        <w:tab w:val="right" w:pos="9026"/>
      </w:tabs>
      <w:snapToGrid w:val="0"/>
    </w:pPr>
  </w:style>
  <w:style w:type="character" w:customStyle="1" w:styleId="Char">
    <w:name w:val="머리글 Char"/>
    <w:basedOn w:val="a0"/>
    <w:link w:val="a3"/>
    <w:uiPriority w:val="99"/>
    <w:rsid w:val="006E7886"/>
  </w:style>
  <w:style w:type="paragraph" w:styleId="a4">
    <w:name w:val="footer"/>
    <w:basedOn w:val="a"/>
    <w:link w:val="Char0"/>
    <w:uiPriority w:val="99"/>
    <w:unhideWhenUsed/>
    <w:rsid w:val="006E7886"/>
    <w:pPr>
      <w:tabs>
        <w:tab w:val="center" w:pos="4513"/>
        <w:tab w:val="right" w:pos="9026"/>
      </w:tabs>
      <w:snapToGrid w:val="0"/>
    </w:pPr>
  </w:style>
  <w:style w:type="character" w:customStyle="1" w:styleId="Char0">
    <w:name w:val="바닥글 Char"/>
    <w:basedOn w:val="a0"/>
    <w:link w:val="a4"/>
    <w:uiPriority w:val="99"/>
    <w:rsid w:val="006E7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661</Words>
  <Characters>3769</Characters>
  <Application>Microsoft Office Word</Application>
  <DocSecurity>0</DocSecurity>
  <Lines>31</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2017-10-11T05:36:00Z</dcterms:created>
  <dcterms:modified xsi:type="dcterms:W3CDTF">2017-12-06T12:07:00Z</dcterms:modified>
</cp:coreProperties>
</file>