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43F" w:rsidRDefault="007D443F" w:rsidP="007D443F">
      <w:pPr>
        <w:jc w:val="center"/>
      </w:pPr>
      <w:r>
        <w:t>Abstract</w:t>
      </w:r>
    </w:p>
    <w:p w:rsidR="007D443F" w:rsidRDefault="007D443F" w:rsidP="007D443F">
      <w:pPr>
        <w:rPr>
          <w:rFonts w:ascii="CIDFont+F2" w:hAnsi="CIDFont+F2" w:cs="CIDFont+F2"/>
          <w:sz w:val="24"/>
          <w:szCs w:val="24"/>
        </w:rPr>
      </w:pPr>
    </w:p>
    <w:p w:rsidR="007D443F" w:rsidRPr="007D443F" w:rsidRDefault="007D443F" w:rsidP="007D443F">
      <w:pPr>
        <w:rPr>
          <w:rFonts w:ascii="CIDFont+F2" w:hAnsi="CIDFont+F2" w:cs="CIDFont+F2"/>
          <w:b/>
          <w:sz w:val="24"/>
          <w:szCs w:val="24"/>
        </w:rPr>
      </w:pPr>
      <w:r w:rsidRPr="007D443F">
        <w:rPr>
          <w:rFonts w:ascii="CIDFont+F2" w:hAnsi="CIDFont+F2" w:cs="CIDFont+F2"/>
          <w:b/>
          <w:sz w:val="24"/>
          <w:szCs w:val="24"/>
        </w:rPr>
        <w:t>Drug response prediction by single cell RNA-sequencing</w:t>
      </w:r>
      <w:r w:rsidRPr="007D443F">
        <w:rPr>
          <w:rFonts w:ascii="CIDFont+F2" w:hAnsi="CIDFont+F2" w:cs="CIDFont+F2"/>
          <w:b/>
          <w:sz w:val="24"/>
          <w:szCs w:val="24"/>
        </w:rPr>
        <w:t xml:space="preserve"> </w:t>
      </w:r>
    </w:p>
    <w:p w:rsidR="007D443F" w:rsidRDefault="007D443F" w:rsidP="007D443F"/>
    <w:p w:rsidR="007D443F" w:rsidRDefault="007D443F" w:rsidP="007D443F">
      <w:pPr>
        <w:jc w:val="center"/>
      </w:pPr>
      <w:r>
        <w:t>Kyeung Min Joo</w:t>
      </w:r>
    </w:p>
    <w:p w:rsidR="007D443F" w:rsidRDefault="007D443F" w:rsidP="007D443F"/>
    <w:p w:rsidR="007D443F" w:rsidRDefault="007D443F" w:rsidP="007D443F">
      <w:pPr>
        <w:jc w:val="center"/>
      </w:pPr>
      <w:r>
        <w:t>Departments of Anatomy and Cell Biology,</w:t>
      </w:r>
      <w:r>
        <w:t xml:space="preserve"> </w:t>
      </w:r>
      <w:r>
        <w:t>Sungkyunkwan University School of Medicine, South Korea.</w:t>
      </w:r>
    </w:p>
    <w:p w:rsidR="007D443F" w:rsidRDefault="007D443F" w:rsidP="007D443F">
      <w:pPr>
        <w:jc w:val="center"/>
      </w:pPr>
      <w:r>
        <w:t>Department of Health Sciences and Technology, Samsung Advanced</w:t>
      </w:r>
      <w:r>
        <w:t xml:space="preserve"> </w:t>
      </w:r>
      <w:r>
        <w:t>Institute for Health Sciences &amp; Technology, Sungkyunkwan University,</w:t>
      </w:r>
      <w:r>
        <w:t xml:space="preserve"> </w:t>
      </w:r>
      <w:r>
        <w:t>South Korea</w:t>
      </w:r>
    </w:p>
    <w:p w:rsidR="007D443F" w:rsidRDefault="007D443F" w:rsidP="007D443F"/>
    <w:p w:rsidR="007D443F" w:rsidRDefault="007D443F" w:rsidP="007D443F">
      <w:r w:rsidRPr="007D443F">
        <w:rPr>
          <w:b/>
        </w:rPr>
        <w:t>Background</w:t>
      </w:r>
      <w:r>
        <w:t>:</w:t>
      </w:r>
      <w:r>
        <w:t xml:space="preserve"> </w:t>
      </w:r>
      <w:r>
        <w:t>Intratumoral heterogeneity hampers the success</w:t>
      </w:r>
      <w:r>
        <w:t xml:space="preserve"> </w:t>
      </w:r>
      <w:r>
        <w:t xml:space="preserve">of marker-based anticancer treatment </w:t>
      </w:r>
      <w:proofErr w:type="spellStart"/>
      <w:r>
        <w:t>becausethe</w:t>
      </w:r>
      <w:proofErr w:type="spellEnd"/>
      <w:r>
        <w:t xml:space="preserve"> targeted therapy may eliminate a specific subpopulation of tumor cells while leaving others</w:t>
      </w:r>
      <w:r>
        <w:t xml:space="preserve"> </w:t>
      </w:r>
      <w:r>
        <w:t>unharmed.</w:t>
      </w:r>
      <w:r>
        <w:t xml:space="preserve"> </w:t>
      </w:r>
      <w:r>
        <w:t>Accordingly, a rational strategy minimizing survival of the drug-resistant subpopulation is essential to achieve</w:t>
      </w:r>
      <w:r>
        <w:t xml:space="preserve"> </w:t>
      </w:r>
      <w:r>
        <w:t>long-term therapeutic efficacy.</w:t>
      </w:r>
    </w:p>
    <w:p w:rsidR="007D443F" w:rsidRDefault="007D443F" w:rsidP="007D443F">
      <w:r w:rsidRPr="007D443F">
        <w:rPr>
          <w:b/>
        </w:rPr>
        <w:t>Results</w:t>
      </w:r>
      <w:r>
        <w:t>:</w:t>
      </w:r>
      <w:r>
        <w:t xml:space="preserve"> </w:t>
      </w:r>
      <w:r>
        <w:t>Using single-cell RNA sequencing (RNA-seq), we examine the intratumoral heterogeneity of a pair</w:t>
      </w:r>
      <w:r>
        <w:t xml:space="preserve"> </w:t>
      </w:r>
      <w:r>
        <w:t>of primary renal cell carcinoma and its lung metastasis. Activation of drug target pathways demonstrates considerable</w:t>
      </w:r>
      <w:r>
        <w:t xml:space="preserve"> </w:t>
      </w:r>
      <w:r>
        <w:t>variability between the primary and metastatic sites, as well as among individual cancer cells within each site. Based</w:t>
      </w:r>
      <w:r>
        <w:t xml:space="preserve"> </w:t>
      </w:r>
      <w:r>
        <w:t>on the predi</w:t>
      </w:r>
      <w:bookmarkStart w:id="0" w:name="_GoBack"/>
      <w:bookmarkEnd w:id="0"/>
      <w:r>
        <w:t xml:space="preserve">ction of multiple drug target pathway activation, we derive </w:t>
      </w:r>
      <w:proofErr w:type="gramStart"/>
      <w:r>
        <w:t>a combinatorial regimen co-targeting two</w:t>
      </w:r>
      <w:r>
        <w:t xml:space="preserve"> </w:t>
      </w:r>
      <w:r>
        <w:t>mutually exclusive pathways</w:t>
      </w:r>
      <w:proofErr w:type="gramEnd"/>
      <w:r>
        <w:t xml:space="preserve"> for the metastatic cancer cells. This combinatorial strategy shows significant increase in</w:t>
      </w:r>
      <w:r>
        <w:t xml:space="preserve"> </w:t>
      </w:r>
      <w:r>
        <w:t>the treatment efficacy over monotherapy in the experimental validation using patient-derived xenograft platforms</w:t>
      </w:r>
      <w:r>
        <w:t xml:space="preserve"> </w:t>
      </w:r>
      <w:r w:rsidRPr="007D443F">
        <w:rPr>
          <w:i/>
        </w:rPr>
        <w:t>in</w:t>
      </w:r>
      <w:r w:rsidRPr="007D443F">
        <w:rPr>
          <w:i/>
        </w:rPr>
        <w:t xml:space="preserve"> </w:t>
      </w:r>
      <w:r w:rsidRPr="007D443F">
        <w:rPr>
          <w:i/>
        </w:rPr>
        <w:t>vitro</w:t>
      </w:r>
      <w:r>
        <w:t xml:space="preserve"> </w:t>
      </w:r>
      <w:r>
        <w:t>and</w:t>
      </w:r>
      <w:r>
        <w:t xml:space="preserve"> </w:t>
      </w:r>
      <w:r w:rsidRPr="007D443F">
        <w:rPr>
          <w:i/>
        </w:rPr>
        <w:t>in vivo</w:t>
      </w:r>
      <w:r>
        <w:t>.</w:t>
      </w:r>
    </w:p>
    <w:p w:rsidR="007D443F" w:rsidRDefault="007D443F" w:rsidP="007D443F">
      <w:r w:rsidRPr="007D443F">
        <w:rPr>
          <w:b/>
        </w:rPr>
        <w:t>Conclusions</w:t>
      </w:r>
      <w:r>
        <w:t>:</w:t>
      </w:r>
      <w:r>
        <w:t xml:space="preserve"> </w:t>
      </w:r>
      <w:r>
        <w:t>Our findings demonstrate the investigational application of single-cell RNA-seq in the design of</w:t>
      </w:r>
      <w:r>
        <w:t xml:space="preserve"> </w:t>
      </w:r>
      <w:r>
        <w:t>an anticancer regimen. The approach may overcome intratumoral heterogeneity which hampers the success</w:t>
      </w:r>
      <w:r>
        <w:t xml:space="preserve"> </w:t>
      </w:r>
      <w:r>
        <w:t>of precision medicine.</w:t>
      </w:r>
    </w:p>
    <w:p w:rsidR="00846764" w:rsidRDefault="007D443F" w:rsidP="007D443F">
      <w:r w:rsidRPr="007D443F">
        <w:rPr>
          <w:b/>
        </w:rPr>
        <w:t>Keywords</w:t>
      </w:r>
      <w:r>
        <w:t>:</w:t>
      </w:r>
      <w:r>
        <w:t xml:space="preserve"> </w:t>
      </w:r>
      <w:r>
        <w:t>Single cell analysis, Renal cell carcinoma, Patient-derived xenograft, Tumor heterogeneity, Drug</w:t>
      </w:r>
      <w:r>
        <w:t xml:space="preserve"> </w:t>
      </w:r>
      <w:r>
        <w:t>response</w:t>
      </w:r>
    </w:p>
    <w:sectPr w:rsidR="008467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43F"/>
    <w:rsid w:val="007D443F"/>
    <w:rsid w:val="0084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56641"/>
  <w15:chartTrackingRefBased/>
  <w15:docId w15:val="{8BEDBF7A-F2E3-41CE-A1DC-CA17A286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Kyeung Min Joo</dc:creator>
  <cp:keywords/>
  <dc:description/>
  <cp:lastModifiedBy>Kyeung Min Joo</cp:lastModifiedBy>
  <cp:revision>1</cp:revision>
  <dcterms:created xsi:type="dcterms:W3CDTF">2017-11-21T04:39:00Z</dcterms:created>
  <dcterms:modified xsi:type="dcterms:W3CDTF">2017-11-21T04:44:00Z</dcterms:modified>
</cp:coreProperties>
</file>